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592"/>
        </w:tabs>
        <w:rPr>
          <w:rFonts w:hint="eastAsia" w:ascii="黑体" w:hAnsi="宋体" w:eastAsia="黑体"/>
          <w:color w:val="000000"/>
          <w:sz w:val="40"/>
          <w:szCs w:val="44"/>
        </w:rPr>
      </w:pPr>
    </w:p>
    <w:p>
      <w:pPr>
        <w:tabs>
          <w:tab w:val="left" w:pos="592"/>
        </w:tabs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2019年1 月12398能源监管热线</w:t>
      </w:r>
    </w:p>
    <w:p>
      <w:pPr>
        <w:tabs>
          <w:tab w:val="left" w:pos="592"/>
        </w:tabs>
        <w:jc w:val="center"/>
        <w:rPr>
          <w:rFonts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投诉举报处理情况通报</w:t>
      </w:r>
    </w:p>
    <w:p>
      <w:pPr>
        <w:spacing w:line="560" w:lineRule="exact"/>
        <w:ind w:firstLine="643" w:firstLineChars="200"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为了保护能源投资者、经营者、使用者的合法权益，维护能源市场秩序，依法履行监管职责，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积极畅通投诉举报渠道，切实发挥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能源监管热线（含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电话、传真、电子邮件等）的作用，认真受理能源监管投诉举报事项，定期公布投诉举报处理情况。现将</w:t>
      </w: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能源监管热线</w:t>
      </w:r>
      <w:r>
        <w:rPr>
          <w:rFonts w:hint="eastAsia" w:ascii="仿宋_GB2312" w:eastAsia="仿宋_GB2312" w:cs="仿宋_GB2312"/>
          <w:sz w:val="32"/>
          <w:szCs w:val="32"/>
        </w:rPr>
        <w:t>（以下简称</w:t>
      </w:r>
      <w:r>
        <w:rPr>
          <w:rFonts w:ascii="仿宋_GB2312" w:eastAsia="仿宋_GB2312" w:cs="仿宋_GB2312"/>
          <w:sz w:val="32"/>
          <w:szCs w:val="32"/>
        </w:rPr>
        <w:t>12398</w:t>
      </w:r>
      <w:r>
        <w:rPr>
          <w:rFonts w:hint="eastAsia" w:ascii="仿宋_GB2312" w:eastAsia="仿宋_GB2312" w:cs="仿宋_GB2312"/>
          <w:sz w:val="32"/>
          <w:szCs w:val="32"/>
        </w:rPr>
        <w:t>热线）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投诉举报处理情况通报如下：</w:t>
      </w: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  <w:lang w:val="en-US" w:eastAsia="zh-CN"/>
        </w:rPr>
        <w:t>一、</w:t>
      </w:r>
      <w:r>
        <w:rPr>
          <w:rFonts w:hint="eastAsia" w:ascii="黑体" w:eastAsia="黑体"/>
          <w:color w:val="000000"/>
          <w:sz w:val="32"/>
        </w:rPr>
        <w:t>基本情况</w:t>
      </w:r>
    </w:p>
    <w:p>
      <w:pPr>
        <w:spacing w:line="560" w:lineRule="exact"/>
        <w:ind w:firstLine="480" w:firstLineChars="150"/>
        <w:rPr>
          <w:rFonts w:hint="eastAsia"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（一）收到有效信息情况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热线共收到有效信息</w:t>
      </w:r>
      <w:r>
        <w:rPr>
          <w:rFonts w:ascii="仿宋_GB2312" w:eastAsia="仿宋_GB2312" w:cs="仿宋_GB2312"/>
          <w:color w:val="000000"/>
          <w:sz w:val="32"/>
          <w:szCs w:val="32"/>
        </w:rPr>
        <w:t>243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</w:t>
      </w:r>
      <w:bookmarkStart w:id="2" w:name="_GoBack"/>
      <w:bookmarkEnd w:id="2"/>
      <w:r>
        <w:rPr>
          <w:rFonts w:hint="eastAsia" w:ascii="仿宋_GB2312" w:eastAsia="仿宋_GB2312" w:cs="仿宋_GB2312"/>
          <w:color w:val="000000"/>
          <w:sz w:val="32"/>
          <w:szCs w:val="32"/>
        </w:rPr>
        <w:t>环比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增加</w:t>
      </w:r>
      <w:r>
        <w:rPr>
          <w:rFonts w:ascii="仿宋_GB2312" w:eastAsia="仿宋_GB2312" w:cs="仿宋_GB2312"/>
          <w:color w:val="000000"/>
          <w:sz w:val="32"/>
          <w:szCs w:val="32"/>
        </w:rPr>
        <w:t>4.71%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增加</w:t>
      </w:r>
      <w:r>
        <w:rPr>
          <w:rFonts w:ascii="仿宋_GB2312" w:eastAsia="仿宋_GB2312" w:cs="仿宋_GB2312"/>
          <w:color w:val="000000"/>
          <w:sz w:val="32"/>
          <w:szCs w:val="32"/>
        </w:rPr>
        <w:t>6.18%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按诉求性质分类，投诉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1.65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；举报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0.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84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；咨询</w:t>
      </w:r>
      <w:r>
        <w:rPr>
          <w:rFonts w:ascii="仿宋_GB2312" w:eastAsia="仿宋_GB2312" w:cs="仿宋_GB2312"/>
          <w:color w:val="000000"/>
          <w:sz w:val="32"/>
          <w:szCs w:val="32"/>
        </w:rPr>
        <w:t>22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1.34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；表扬、求助、建议等其他方面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件，占有效信息的</w:t>
      </w:r>
      <w:r>
        <w:rPr>
          <w:rFonts w:ascii="仿宋_GB2312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按反映渠道分类，</w:t>
      </w:r>
      <w:r>
        <w:rPr>
          <w:rFonts w:ascii="仿宋_GB2312" w:eastAsia="仿宋_GB2312" w:cs="仿宋_GB2312"/>
          <w:color w:val="000000"/>
          <w:sz w:val="32"/>
          <w:szCs w:val="32"/>
        </w:rPr>
        <w:t>12398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电话</w:t>
      </w:r>
      <w:r>
        <w:rPr>
          <w:rFonts w:ascii="仿宋_GB2312" w:eastAsia="仿宋_GB2312" w:cs="仿宋_GB2312"/>
          <w:color w:val="000000"/>
          <w:sz w:val="32"/>
          <w:szCs w:val="32"/>
        </w:rPr>
        <w:t>241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件，电子邮件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件。（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收到有效信息情况见表一）</w:t>
      </w:r>
    </w:p>
    <w:p>
      <w:pPr>
        <w:widowControl/>
        <w:snapToGri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 xml:space="preserve">表一 </w:t>
      </w:r>
      <w:r>
        <w:rPr>
          <w:rFonts w:hint="eastAsia" w:ascii="仿宋_GB2312" w:eastAsia="仿宋_GB2312"/>
          <w:color w:val="000000"/>
          <w:sz w:val="32"/>
        </w:rPr>
        <w:t>2019年1月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收到有效信息情况</w:t>
      </w:r>
    </w:p>
    <w:p>
      <w:pPr>
        <w:widowControl/>
        <w:snapToGrid w:val="0"/>
        <w:spacing w:beforeLines="50" w:afterLines="50" w:line="280" w:lineRule="exact"/>
        <w:ind w:right="125"/>
        <w:jc w:val="righ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单位：件</w:t>
      </w:r>
    </w:p>
    <w:tbl>
      <w:tblPr>
        <w:tblW w:w="86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239"/>
        <w:gridCol w:w="1239"/>
        <w:gridCol w:w="1239"/>
        <w:gridCol w:w="1239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433" w:type="dxa"/>
            <w:tcBorders>
              <w:top w:val="thinThickSmallGap" w:color="000000" w:sz="12" w:space="0"/>
              <w:left w:val="thinThickSmallGap" w:color="000000" w:sz="1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反映渠道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投诉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single" w:color="000000" w:sz="4" w:space="0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举报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咨询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1239" w:type="dxa"/>
            <w:tcBorders>
              <w:top w:val="thinThickSmallGap" w:color="000000" w:sz="12" w:space="0"/>
              <w:left w:val="nil"/>
              <w:bottom w:val="double" w:color="000000" w:sz="2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double" w:color="000000" w:sz="2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12398电话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9" w:type="dxa"/>
            <w:tcBorders>
              <w:top w:val="doub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1239" w:type="dxa"/>
            <w:tcBorders>
              <w:top w:val="double" w:color="000000" w:sz="2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传    真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    他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  <w:tc>
          <w:tcPr>
            <w:tcW w:w="1239" w:type="dxa"/>
            <w:tcBorders>
              <w:top w:val="single" w:color="000000" w:sz="4" w:space="0"/>
              <w:left w:val="nil"/>
              <w:bottom w:val="single" w:color="000000" w:sz="4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33" w:type="dxa"/>
            <w:tcBorders>
              <w:top w:val="double" w:color="auto" w:sz="4" w:space="0"/>
              <w:left w:val="thinThickSmallGap" w:color="000000" w:sz="12" w:space="0"/>
              <w:bottom w:val="thickThinSmallGap" w:color="000000" w:sz="12" w:space="0"/>
              <w:right w:val="double" w:color="000000" w:sz="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    计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39" w:type="dxa"/>
            <w:tcBorders>
              <w:top w:val="double" w:color="auto" w:sz="4" w:space="0"/>
              <w:left w:val="single" w:color="000000" w:sz="4" w:space="0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39" w:type="dxa"/>
            <w:tcBorders>
              <w:top w:val="double" w:color="auto" w:sz="4" w:space="0"/>
              <w:left w:val="nil"/>
              <w:bottom w:val="thickThinSmallGap" w:color="000000" w:sz="12" w:space="0"/>
              <w:right w:val="thickThinSmallGap" w:color="000000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243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（二）分类情况</w:t>
      </w:r>
    </w:p>
    <w:p>
      <w:pPr>
        <w:spacing w:line="64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月有效信息中，电力行业类</w:t>
      </w:r>
      <w:r>
        <w:rPr>
          <w:rFonts w:ascii="仿宋_GB2312" w:eastAsia="仿宋_GB2312" w:cs="仿宋_GB2312"/>
          <w:sz w:val="32"/>
          <w:szCs w:val="32"/>
        </w:rPr>
        <w:t>147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60.49%</w:t>
      </w:r>
      <w:r>
        <w:rPr>
          <w:rFonts w:hint="eastAsia" w:ascii="仿宋_GB2312" w:eastAsia="仿宋_GB2312" w:cs="仿宋_GB2312"/>
          <w:sz w:val="32"/>
          <w:szCs w:val="32"/>
        </w:rPr>
        <w:t>；新能源和可再生能源行业类</w:t>
      </w:r>
      <w:r>
        <w:rPr>
          <w:rFonts w:ascii="仿宋_GB2312" w:eastAsia="仿宋_GB2312" w:cs="仿宋_GB2312"/>
          <w:sz w:val="32"/>
          <w:szCs w:val="32"/>
        </w:rPr>
        <w:t>40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16.46%</w:t>
      </w:r>
      <w:r>
        <w:rPr>
          <w:rFonts w:hint="eastAsia" w:ascii="仿宋_GB2312" w:eastAsia="仿宋_GB2312" w:cs="仿宋_GB2312"/>
          <w:sz w:val="32"/>
          <w:szCs w:val="32"/>
        </w:rPr>
        <w:t>；石油天然气行业类</w:t>
      </w:r>
      <w:r>
        <w:rPr>
          <w:rFonts w:ascii="仿宋_GB2312" w:eastAsia="仿宋_GB2312" w:cs="仿宋_GB2312"/>
          <w:sz w:val="32"/>
          <w:szCs w:val="32"/>
        </w:rPr>
        <w:t>27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11.11%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 w:cs="仿宋_GB2312"/>
          <w:sz w:val="32"/>
          <w:szCs w:val="32"/>
        </w:rPr>
        <w:t>其他事项</w:t>
      </w:r>
      <w:r>
        <w:rPr>
          <w:rFonts w:ascii="仿宋_GB2312" w:eastAsia="仿宋_GB2312" w:cs="仿宋_GB2312"/>
          <w:sz w:val="32"/>
          <w:szCs w:val="32"/>
        </w:rPr>
        <w:t>29</w:t>
      </w:r>
      <w:r>
        <w:rPr>
          <w:rFonts w:hint="eastAsia" w:ascii="仿宋_GB2312" w:eastAsia="仿宋_GB2312" w:cs="仿宋_GB2312"/>
          <w:sz w:val="32"/>
          <w:szCs w:val="32"/>
        </w:rPr>
        <w:t>件，占</w:t>
      </w:r>
      <w:r>
        <w:rPr>
          <w:rFonts w:ascii="仿宋_GB2312" w:eastAsia="仿宋_GB2312" w:cs="仿宋_GB2312"/>
          <w:sz w:val="32"/>
          <w:szCs w:val="32"/>
        </w:rPr>
        <w:t>11.93%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投诉举报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全部为</w:t>
      </w:r>
      <w:r>
        <w:rPr>
          <w:rFonts w:ascii="仿宋_GB2312" w:eastAsia="仿宋_GB2312" w:cs="仿宋_GB2312"/>
          <w:color w:val="000000"/>
          <w:sz w:val="32"/>
          <w:szCs w:val="32"/>
        </w:rPr>
        <w:t>电力行业，共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ascii="仿宋_GB2312" w:eastAsia="仿宋_GB2312" w:cs="仿宋_GB2312"/>
          <w:color w:val="000000"/>
          <w:sz w:val="32"/>
          <w:szCs w:val="32"/>
        </w:rPr>
        <w:t>件。从业务分类情况看，电力交易方面1件，占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16.67</w:t>
      </w:r>
      <w:r>
        <w:rPr>
          <w:rFonts w:ascii="仿宋_GB2312" w:eastAsia="仿宋_GB2312" w:cs="仿宋_GB2312"/>
          <w:color w:val="000000"/>
          <w:sz w:val="32"/>
          <w:szCs w:val="32"/>
        </w:rPr>
        <w:t>%;供电服务方面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ascii="仿宋_GB2312" w:eastAsia="仿宋_GB2312" w:cs="仿宋_GB2312"/>
          <w:color w:val="000000"/>
          <w:sz w:val="32"/>
          <w:szCs w:val="32"/>
        </w:rPr>
        <w:t>件，占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83.33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。（</w:t>
      </w: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>电力行业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有效信息按业务分类情况见表二）。</w:t>
      </w:r>
    </w:p>
    <w:p>
      <w:pPr>
        <w:widowControl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  <w:rPr>
          <w:rFonts w:asci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表二</w:t>
      </w:r>
      <w:r>
        <w:rPr>
          <w:rFonts w:ascii="宋体" w:hAnsi="宋体" w:cs="宋体"/>
          <w:b/>
          <w:color w:val="000000"/>
          <w:kern w:val="0"/>
          <w:sz w:val="30"/>
          <w:szCs w:val="32"/>
        </w:rPr>
        <w:t xml:space="preserve">  </w:t>
      </w:r>
      <w:r>
        <w:rPr>
          <w:rFonts w:ascii="仿宋_GB2312" w:eastAsia="仿宋_GB2312"/>
          <w:color w:val="000000"/>
          <w:sz w:val="32"/>
        </w:rPr>
        <w:t>2019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ascii="仿宋_GB2312" w:eastAsia="仿宋_GB2312"/>
          <w:color w:val="000000"/>
          <w:sz w:val="32"/>
        </w:rPr>
        <w:t>1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ascii="宋体" w:hAnsi="宋体" w:cs="宋体"/>
          <w:b/>
          <w:kern w:val="0"/>
          <w:sz w:val="30"/>
          <w:szCs w:val="32"/>
        </w:rPr>
        <w:t>电力行业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有效信息按业务分类情况</w:t>
      </w:r>
    </w:p>
    <w:p>
      <w:pPr>
        <w:widowControl/>
        <w:snapToGrid w:val="0"/>
        <w:jc w:val="right"/>
        <w:rPr>
          <w:rFonts w:asci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单位：件</w:t>
      </w:r>
    </w:p>
    <w:tbl>
      <w:tblPr>
        <w:tblW w:w="8947" w:type="dxa"/>
        <w:jc w:val="center"/>
        <w:tblBorders>
          <w:top w:val="thinThickSmallGap" w:color="000000" w:sz="12" w:space="0"/>
          <w:left w:val="thinThickSmallGap" w:color="000000" w:sz="12" w:space="0"/>
          <w:bottom w:val="thickThinSmallGap" w:color="000000" w:sz="12" w:space="0"/>
          <w:right w:val="thickThinSmallGap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3"/>
        <w:gridCol w:w="1192"/>
        <w:gridCol w:w="7"/>
        <w:gridCol w:w="1218"/>
        <w:gridCol w:w="20"/>
        <w:gridCol w:w="1324"/>
        <w:gridCol w:w="11"/>
        <w:gridCol w:w="1154"/>
        <w:gridCol w:w="16"/>
        <w:gridCol w:w="1269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ckThinSmallGap" w:color="000000" w:sz="12" w:space="0"/>
            <w:right w:val="thickThinSmallGap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6" w:type="dxa"/>
            <w:gridSpan w:val="2"/>
            <w:tcBorders>
              <w:top w:val="thinThickSmallGap" w:color="000000" w:sz="12" w:space="0"/>
              <w:bottom w:val="thinThickSmallGap" w:color="000000" w:sz="12" w:space="0"/>
              <w:right w:val="double" w:color="000000" w:sz="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业务类别</w:t>
            </w:r>
          </w:p>
        </w:tc>
        <w:tc>
          <w:tcPr>
            <w:tcW w:w="1199" w:type="dxa"/>
            <w:gridSpan w:val="2"/>
            <w:tcBorders>
              <w:top w:val="thinThickSmallGap" w:color="000000" w:sz="12" w:space="0"/>
              <w:left w:val="double" w:color="000000" w:sz="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投诉</w:t>
            </w:r>
          </w:p>
        </w:tc>
        <w:tc>
          <w:tcPr>
            <w:tcW w:w="1238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举报</w:t>
            </w:r>
          </w:p>
        </w:tc>
        <w:tc>
          <w:tcPr>
            <w:tcW w:w="1335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咨询</w:t>
            </w:r>
          </w:p>
        </w:tc>
        <w:tc>
          <w:tcPr>
            <w:tcW w:w="1170" w:type="dxa"/>
            <w:gridSpan w:val="2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269" w:type="dxa"/>
            <w:tcBorders>
              <w:top w:val="thinThickSmallGap" w:color="000000" w:sz="12" w:space="0"/>
              <w:bottom w:val="thinThickSmallGap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规划和政策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审批事项取消和下放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项目建设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电力交易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电力安全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5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6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市场准入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7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供电服务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8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成本价格和收费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18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其他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17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0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3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合计</w:t>
            </w:r>
          </w:p>
        </w:tc>
        <w:tc>
          <w:tcPr>
            <w:tcW w:w="119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2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344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13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116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285" w:type="dxa"/>
            <w:gridSpan w:val="2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/>
                <w:color w:val="000000"/>
                <w:sz w:val="24"/>
              </w:rPr>
              <w:t>147</w:t>
            </w:r>
          </w:p>
        </w:tc>
      </w:tr>
    </w:tbl>
    <w:p>
      <w:pPr>
        <w:spacing w:line="560" w:lineRule="exact"/>
        <w:rPr>
          <w:rFonts w:ascii="楷体_GB2312" w:eastAsia="楷体_GB2312"/>
          <w:color w:val="000000"/>
          <w:sz w:val="32"/>
        </w:rPr>
      </w:pPr>
      <w:bookmarkStart w:id="0" w:name="table1"/>
      <w:bookmarkEnd w:id="0"/>
    </w:p>
    <w:p>
      <w:pPr>
        <w:tabs>
          <w:tab w:val="left" w:pos="3668"/>
        </w:tabs>
        <w:spacing w:line="560" w:lineRule="exact"/>
        <w:ind w:firstLine="640" w:firstLineChars="200"/>
        <w:rPr>
          <w:rFonts w:ascii="楷体_GB2312" w:eastAsia="楷体_GB2312"/>
          <w:color w:val="000000"/>
          <w:sz w:val="32"/>
        </w:rPr>
      </w:pPr>
      <w:r>
        <w:rPr>
          <w:rFonts w:hint="eastAsia" w:ascii="楷体_GB2312" w:eastAsia="楷体_GB2312"/>
          <w:color w:val="000000"/>
          <w:sz w:val="32"/>
        </w:rPr>
        <w:t>（三）区域分布情况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各地市按照</w:t>
      </w:r>
      <w:r>
        <w:rPr>
          <w:rFonts w:hint="eastAsia" w:ascii="仿宋_GB2312" w:eastAsia="仿宋_GB2312"/>
          <w:color w:val="000000"/>
          <w:sz w:val="32"/>
        </w:rPr>
        <w:t>收到的有效信息数量排序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color w:val="000000"/>
          <w:sz w:val="32"/>
        </w:rPr>
        <w:t>吕梁市、太原市、临汾市、运城市、朔州市等</w:t>
      </w:r>
      <w:r>
        <w:rPr>
          <w:rFonts w:hint="eastAsia" w:ascii="仿宋_GB2312" w:eastAsia="仿宋_GB2312"/>
          <w:sz w:val="32"/>
        </w:rPr>
        <w:t>列辖区内前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位；</w:t>
      </w:r>
      <w:r>
        <w:rPr>
          <w:rFonts w:hint="eastAsia" w:ascii="仿宋_GB2312" w:eastAsia="仿宋_GB2312"/>
          <w:color w:val="000000"/>
          <w:sz w:val="32"/>
        </w:rPr>
        <w:t>按照投诉举报数量排序，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运城市、</w:t>
      </w:r>
      <w:r>
        <w:rPr>
          <w:rFonts w:hint="eastAsia" w:ascii="仿宋_GB2312" w:eastAsia="仿宋_GB2312"/>
          <w:color w:val="000000"/>
          <w:sz w:val="32"/>
        </w:rPr>
        <w:t>太原市、吕梁市、晋中市、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临汾市</w:t>
      </w:r>
      <w:r>
        <w:rPr>
          <w:rFonts w:hint="eastAsia" w:ascii="仿宋_GB2312" w:eastAsia="仿宋_GB2312"/>
          <w:color w:val="000000"/>
          <w:sz w:val="32"/>
        </w:rPr>
        <w:t>等</w:t>
      </w:r>
      <w:r>
        <w:rPr>
          <w:rFonts w:hint="eastAsia" w:ascii="仿宋_GB2312" w:eastAsia="仿宋_GB2312"/>
          <w:sz w:val="32"/>
        </w:rPr>
        <w:t>排在辖区内前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位。（2019年1月有效信息及投诉举报排名前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位情况见表三）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</w:p>
    <w:p>
      <w:pPr>
        <w:widowControl/>
        <w:snapToGrid w:val="0"/>
        <w:spacing w:beforeLines="50"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 xml:space="preserve">表三 </w:t>
      </w:r>
      <w:r>
        <w:rPr>
          <w:rFonts w:hint="eastAsia" w:ascii="仿宋_GB2312" w:eastAsia="仿宋_GB2312"/>
          <w:color w:val="000000"/>
          <w:sz w:val="32"/>
        </w:rPr>
        <w:t>2019年1月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有效信息及投诉举报排名前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  <w:lang w:val="en-US" w:eastAsia="zh-CN"/>
        </w:rPr>
        <w:t>5</w:t>
      </w:r>
      <w:r>
        <w:rPr>
          <w:rFonts w:hint="eastAsia" w:ascii="宋体" w:hAnsi="宋体" w:cs="宋体"/>
          <w:b/>
          <w:color w:val="000000"/>
          <w:kern w:val="0"/>
          <w:sz w:val="30"/>
          <w:szCs w:val="32"/>
        </w:rPr>
        <w:t>位情况</w:t>
      </w:r>
    </w:p>
    <w:p>
      <w:pPr>
        <w:widowControl/>
        <w:snapToGrid w:val="0"/>
        <w:spacing w:line="360" w:lineRule="exact"/>
        <w:jc w:val="right"/>
        <w:rPr>
          <w:rFonts w:ascii="宋体" w:hAnsi="宋体" w:cs="宋体"/>
          <w:color w:val="000000"/>
          <w:kern w:val="0"/>
          <w:sz w:val="24"/>
          <w:szCs w:val="28"/>
        </w:rPr>
      </w:pPr>
      <w:r>
        <w:rPr>
          <w:rFonts w:hint="eastAsia" w:ascii="宋体" w:hAnsi="宋体" w:cs="宋体"/>
          <w:color w:val="000000"/>
          <w:kern w:val="0"/>
          <w:sz w:val="24"/>
          <w:szCs w:val="28"/>
        </w:rPr>
        <w:t>单位：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件</w:t>
      </w:r>
    </w:p>
    <w:tbl>
      <w:tblPr>
        <w:tblW w:w="87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2300"/>
        <w:gridCol w:w="1316"/>
        <w:gridCol w:w="2484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有效信息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ascii="黑体" w:eastAsia="黑体"/>
                <w:color w:val="000000"/>
                <w:sz w:val="32"/>
              </w:rPr>
            </w:pPr>
            <w:r>
              <w:rPr>
                <w:rFonts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地市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黑体" w:eastAsia="仿宋_GB2312" w:cs="仿宋_GB2312"/>
                <w:color w:val="000000"/>
                <w:kern w:val="0"/>
                <w:sz w:val="24"/>
                <w:szCs w:val="24"/>
              </w:rPr>
              <w:t>投诉举报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1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吕梁市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248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运城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市</w:t>
            </w:r>
          </w:p>
        </w:tc>
        <w:tc>
          <w:tcPr>
            <w:tcW w:w="1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48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2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太原市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太原市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3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临汾市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吕梁市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4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运城市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晋中市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hint="eastAsia" w:ascii="黑体" w:eastAsia="黑体"/>
                <w:color w:val="000000"/>
                <w:sz w:val="32"/>
              </w:rPr>
              <w:t>5</w:t>
            </w: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朔州市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临汾市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7" w:type="dxa"/>
            <w:vMerge w:val="continue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3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其中：地方电力区域</w:t>
            </w:r>
          </w:p>
        </w:tc>
        <w:tc>
          <w:tcPr>
            <w:tcW w:w="153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二、反映的主要问题及原因分析</w:t>
      </w:r>
    </w:p>
    <w:p>
      <w:pPr>
        <w:spacing w:line="600" w:lineRule="exact"/>
        <w:ind w:firstLine="640" w:firstLineChars="20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（一）主要问题</w:t>
      </w:r>
    </w:p>
    <w:p>
      <w:pPr>
        <w:widowControl/>
        <w:shd w:val="clear" w:color="auto" w:fill="FFFFFF"/>
        <w:wordWrap/>
        <w:adjustRightInd/>
        <w:snapToGrid/>
        <w:spacing w:before="225"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投诉举报反映的问题主要集中在电力行业，其次是新能源和可再生能源行业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以及石油天然气行业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wordWrap/>
        <w:adjustRightInd/>
        <w:snapToGrid/>
        <w:spacing w:before="225" w:line="560" w:lineRule="exact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电力行业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本月反映的问题主要集中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电能质量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供电抢修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、电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表计量、电力安全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等方面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一是部分地区“两率”水平较低，影响群众正常生产生活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临汾市乡宁县管头镇东团村余呙新村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持续一个月电压低，无法正常生活。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二是部分地区停电时间较长、抢修不及时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如：吕梁临县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安业乡移民村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停电2天不能及时恢复送电。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三是个别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地区存在废旧电杆没有及时拆除，电杆老化严重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，存在安全隐患。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如：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临汾市洪洞县万安镇高公村河东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用户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院子里有两根废弃8年老化严重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高压电线杆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存在安全隐患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新能源和可再生能源行业主要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反映2018年后并网发电的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分布式光伏发电项目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补贴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不结算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部分地区供电公司无法代开发票导致电费结算不及时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等问题。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/>
        </w:rPr>
        <w:t>石油天然气行业主要反映工作人员服务态度差。</w:t>
      </w:r>
    </w:p>
    <w:p>
      <w:pPr>
        <w:spacing w:line="600" w:lineRule="exact"/>
        <w:ind w:firstLine="640" w:firstLineChars="200"/>
        <w:rPr>
          <w:rFonts w:asci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（二）原因分析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经分析，造成以上问题的主要原因：一是部分供电企业资金投入不足，配网建设改造滞后；二是部分供电企业抢修力量不足，不能及时抢修用电高峰时期多发的停电故障；三是部分供电企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业工作人员安全防范意识淡薄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；四是个别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地区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供电企业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与当地税务部门沟通不到位，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分布式光伏发电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用户发票无法及时代开，导致一些用户电费不能按时结算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五是部分分布式光伏发电用户补贴结算不到位。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三、处理结果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</w:rPr>
        <w:t>2019年1月</w:t>
      </w:r>
      <w:r>
        <w:rPr>
          <w:rFonts w:hint="eastAsia" w:ascii="仿宋_GB2312" w:eastAsia="仿宋_GB2312"/>
          <w:color w:val="000000"/>
          <w:sz w:val="32"/>
        </w:rPr>
        <w:t>共收到投诉举报信息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</w:rPr>
        <w:t>件，根据国家有关法律法规规定，山西能源监管办对属于监管职责范围的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</w:rPr>
        <w:t>件进行了受理，占投诉举报量的66.67%；其他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2件</w:t>
      </w:r>
      <w:r>
        <w:rPr>
          <w:rFonts w:hint="eastAsia" w:ascii="仿宋_GB2312" w:eastAsia="仿宋_GB2312"/>
          <w:color w:val="000000"/>
          <w:sz w:val="32"/>
        </w:rPr>
        <w:t>不属于能源监管职责范围的已按照有关规定进行了及时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回复</w:t>
      </w:r>
      <w:r>
        <w:rPr>
          <w:rFonts w:hint="eastAsia" w:ascii="仿宋_GB2312" w:eastAsia="仿宋_GB2312"/>
          <w:color w:val="000000"/>
          <w:sz w:val="32"/>
        </w:rPr>
        <w:t>。</w:t>
      </w:r>
    </w:p>
    <w:p>
      <w:pPr>
        <w:spacing w:line="600" w:lineRule="exact"/>
        <w:ind w:firstLine="640" w:firstLineChars="20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针对群众反映的投诉举报事项，</w:t>
      </w:r>
      <w:r>
        <w:rPr>
          <w:rFonts w:ascii="仿宋_GB2312" w:eastAsia="仿宋_GB2312" w:cs="仿宋_GB2312"/>
          <w:color w:val="000000"/>
          <w:sz w:val="32"/>
          <w:szCs w:val="32"/>
        </w:rPr>
        <w:t>山西能源监管办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严格依据国家有关法律法规及文件规定进行了处理：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是通过解释说明，澄清事实，使当事人消除了误解；二是通过协调督促，加快电能质量问题的解决，及时消除了安全隐患,保障了群众正常生产生活；三是通过监管约谈、责令整改等方式，纠正了相关企业的违法违规行为，维护了当事人合法权益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lang w:eastAsia="zh-CN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41" w:right="1531" w:bottom="1928" w:left="1644" w:header="851" w:footer="992" w:gutter="0"/>
          <w:pgNumType w:start="1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32"/>
        </w:rPr>
        <w:t>2019年1月</w:t>
      </w:r>
      <w:r>
        <w:rPr>
          <w:rFonts w:hint="eastAsia" w:ascii="仿宋_GB2312" w:eastAsia="仿宋_GB2312"/>
          <w:color w:val="000000"/>
          <w:sz w:val="32"/>
        </w:rPr>
        <w:t>已办结投诉举报4件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，占投诉举报受理量的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100</w:t>
      </w:r>
      <w:r>
        <w:rPr>
          <w:rFonts w:asci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；完成回访</w:t>
      </w:r>
      <w:r>
        <w:rPr>
          <w:rFonts w:asci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件，回访率为</w:t>
      </w:r>
      <w:r>
        <w:rPr>
          <w:rFonts w:ascii="仿宋_GB2312" w:eastAsia="仿宋_GB2312" w:cs="仿宋_GB2312"/>
          <w:color w:val="000000"/>
          <w:sz w:val="32"/>
          <w:szCs w:val="32"/>
        </w:rPr>
        <w:t>100%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，满意率达到</w:t>
      </w:r>
      <w:r>
        <w:rPr>
          <w:rFonts w:ascii="仿宋_GB2312" w:eastAsia="仿宋_GB2312" w:cs="仿宋_GB2312"/>
          <w:color w:val="000000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％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bookmarkStart w:id="1" w:name="table4"/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bookmarkEnd w:id="1"/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ind w:firstLine="9240" w:firstLineChars="33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</w:p>
    <w:sectPr>
      <w:headerReference r:id="rId7" w:type="default"/>
      <w:footerReference r:id="rId8" w:type="default"/>
      <w:footerReference r:id="rId9" w:type="even"/>
      <w:pgSz w:w="16839" w:h="23814"/>
      <w:pgMar w:top="1928" w:right="1134" w:bottom="2041" w:left="113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jc w:val="right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t>6</w:t>
    </w:r>
    <w:r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 PAGE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6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—</w:t>
    </w:r>
  </w:p>
  <w:p>
    <w:pPr>
      <w:pStyle w:val="3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t>6</w:t>
    </w:r>
    <w:r>
      <w:rPr>
        <w:rFonts w:ascii="Times New Roman" w:hAnsi="Times New Roman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nhideWhenUsed="0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paragraph" w:styleId="2">
    <w:name w:val="caption"/>
    <w:basedOn w:val="1"/>
    <w:next w:val="1"/>
    <w:qFormat/>
    <w:uiPriority w:val="35"/>
    <w:rPr>
      <w:rFonts w:ascii="Cambria" w:hAnsi="Cambria" w:eastAsia="黑体" w:cs="黑体"/>
      <w:sz w:val="20"/>
      <w:szCs w:val="20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  <w:rPr/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font101"/>
    <w:qFormat/>
    <w:uiPriority w:val="0"/>
    <w:rPr>
      <w:rFonts w:hint="eastAsia" w:ascii="仿宋_GB2312" w:eastAsia="仿宋_GB2312" w:cs="仿宋_GB2312"/>
      <w:color w:val="FF0000"/>
      <w:sz w:val="18"/>
      <w:szCs w:val="18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font61"/>
    <w:qFormat/>
    <w:uiPriority w:val="0"/>
    <w:rPr>
      <w:rFonts w:hint="eastAsia" w:ascii="仿宋_GB2312" w:eastAsia="仿宋_GB2312" w:cs="仿宋_GB2312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376</Words>
  <Characters>2147</Characters>
  <Lines>17</Lines>
  <Paragraphs>5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2016-12-12T01:02:00Z</dcterms:created>
  <dc:creator>汪洋(市场监管部)</dc:creator>
  <cp:lastModifiedBy>赵晓敏</cp:lastModifiedBy>
  <cp:lastPrinted>2016-12-12T06:17:00Z</cp:lastPrinted>
  <dcterms:modified xsi:type="dcterms:W3CDTF">2019-03-05T02:23:01Z</dcterms:modified>
  <dc:title>2016年10月12398能源监管热线投诉举报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