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2019年6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spacing w:line="560" w:lineRule="exact"/>
        <w:ind w:firstLine="640" w:firstLineChars="200"/>
        <w:rPr>
          <w:rFonts w:hint="eastAsia" w:ascii="黑体" w:eastAsia="黑体"/>
          <w:color w:val="000000"/>
          <w:sz w:val="32"/>
        </w:rPr>
      </w:pPr>
      <w:r>
        <w:rPr>
          <w:rFonts w:hint="eastAsia" w:ascii="黑体" w:eastAsia="黑体"/>
          <w:color w:val="000000"/>
          <w:sz w:val="32"/>
          <w:lang w:val="en-US" w:eastAsia="zh-CN"/>
        </w:rPr>
        <w:t>一、</w:t>
      </w:r>
      <w:r>
        <w:rPr>
          <w:rFonts w:hint="eastAsia" w:ascii="黑体" w:eastAsia="黑体"/>
          <w:color w:val="000000"/>
          <w:sz w:val="32"/>
        </w:rPr>
        <w:t>基本情况</w:t>
      </w:r>
    </w:p>
    <w:p>
      <w:pPr>
        <w:spacing w:line="560" w:lineRule="exact"/>
        <w:ind w:firstLine="480" w:firstLineChars="150"/>
        <w:rPr>
          <w:rFonts w:hint="eastAsia" w:ascii="楷体" w:hAnsi="楷体" w:eastAsia="楷体"/>
          <w:color w:val="000000"/>
          <w:sz w:val="32"/>
        </w:rPr>
      </w:pPr>
      <w:r>
        <w:rPr>
          <w:rFonts w:hint="eastAsia" w:ascii="楷体" w:hAnsi="楷体" w:eastAsia="楷体"/>
          <w:color w:val="000000"/>
          <w:sz w:val="32"/>
        </w:rPr>
        <w:t>（一）收到有效信息情况</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251</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增加3.72%</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减少-4.56%</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15</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5.98%</w:t>
      </w:r>
      <w:r>
        <w:rPr>
          <w:rFonts w:hint="eastAsia" w:ascii="仿宋_GB2312" w:eastAsia="仿宋_GB2312" w:cs="仿宋_GB2312"/>
          <w:color w:val="000000"/>
          <w:sz w:val="32"/>
          <w:szCs w:val="32"/>
        </w:rPr>
        <w:t>；举报</w:t>
      </w:r>
      <w:r>
        <w:rPr>
          <w:rFonts w:ascii="仿宋_GB2312" w:eastAsia="仿宋_GB2312" w:cs="仿宋_GB2312"/>
          <w:color w:val="000000"/>
          <w:sz w:val="32"/>
          <w:szCs w:val="32"/>
        </w:rPr>
        <w:t>0</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0.00%</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220</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87.65%</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16</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6.37%</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248</w:t>
      </w:r>
      <w:r>
        <w:rPr>
          <w:rFonts w:hint="eastAsia" w:ascii="仿宋_GB2312" w:eastAsia="仿宋_GB2312" w:cs="仿宋_GB2312"/>
          <w:color w:val="000000"/>
          <w:sz w:val="32"/>
          <w:szCs w:val="32"/>
        </w:rPr>
        <w:t>件，电子邮件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留言2件</w:t>
      </w:r>
      <w:r>
        <w:rPr>
          <w:rFonts w:hint="eastAsia" w:ascii="仿宋_GB2312" w:eastAsia="仿宋_GB2312" w:cs="仿宋_GB2312"/>
          <w:color w:val="000000"/>
          <w:sz w:val="32"/>
          <w:szCs w:val="32"/>
        </w:rPr>
        <w:t>。（</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2019年6月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8628" w:type="dxa"/>
        <w:jc w:val="center"/>
        <w:tblInd w:w="0" w:type="dxa"/>
        <w:tblLayout w:type="fixed"/>
        <w:tblCellMar>
          <w:top w:w="0" w:type="dxa"/>
          <w:left w:w="108" w:type="dxa"/>
          <w:bottom w:w="0" w:type="dxa"/>
          <w:right w:w="108" w:type="dxa"/>
        </w:tblCellMar>
      </w:tblPr>
      <w:tblGrid>
        <w:gridCol w:w="2433"/>
        <w:gridCol w:w="1239"/>
        <w:gridCol w:w="1239"/>
        <w:gridCol w:w="1239"/>
        <w:gridCol w:w="1239"/>
        <w:gridCol w:w="1239"/>
      </w:tblGrid>
      <w:tr>
        <w:tblPrEx>
          <w:tblLayout w:type="fixed"/>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ascii="仿宋_GB2312" w:hAnsi="宋体" w:eastAsia="仿宋_GB2312" w:cs="宋体"/>
                <w:kern w:val="0"/>
                <w:sz w:val="24"/>
              </w:rPr>
              <w:t>15</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13</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248</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Layout w:type="fixed"/>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220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251</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ascii="楷体_GB2312" w:eastAsia="楷体_GB2312"/>
          <w:color w:val="000000"/>
          <w:sz w:val="32"/>
        </w:rPr>
      </w:pPr>
      <w:r>
        <w:rPr>
          <w:rFonts w:hint="eastAsia" w:ascii="楷体_GB2312" w:eastAsia="楷体_GB2312"/>
          <w:color w:val="000000"/>
          <w:sz w:val="32"/>
        </w:rPr>
        <w:t>（二）分类情况</w:t>
      </w:r>
    </w:p>
    <w:p>
      <w:pPr>
        <w:spacing w:line="640" w:lineRule="exact"/>
        <w:ind w:firstLine="640" w:firstLineChars="200"/>
        <w:rPr>
          <w:rFonts w:ascii="仿宋_GB2312" w:eastAsia="仿宋_GB2312" w:cs="仿宋_GB2312"/>
          <w:color w:val="00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6</w:t>
      </w:r>
      <w:r>
        <w:rPr>
          <w:rFonts w:hint="eastAsia" w:ascii="仿宋_GB2312" w:eastAsia="仿宋_GB2312" w:cs="仿宋_GB2312"/>
          <w:sz w:val="32"/>
          <w:szCs w:val="32"/>
        </w:rPr>
        <w:t>月收到的有效信息中，电力行业类</w:t>
      </w:r>
      <w:r>
        <w:rPr>
          <w:rFonts w:ascii="仿宋_GB2312" w:eastAsia="仿宋_GB2312" w:cs="仿宋_GB2312"/>
          <w:sz w:val="32"/>
          <w:szCs w:val="32"/>
        </w:rPr>
        <w:t>164</w:t>
      </w:r>
      <w:r>
        <w:rPr>
          <w:rFonts w:hint="eastAsia" w:ascii="仿宋_GB2312" w:eastAsia="仿宋_GB2312" w:cs="仿宋_GB2312"/>
          <w:sz w:val="32"/>
          <w:szCs w:val="32"/>
        </w:rPr>
        <w:t>件，占</w:t>
      </w:r>
      <w:r>
        <w:rPr>
          <w:rFonts w:ascii="仿宋_GB2312" w:eastAsia="仿宋_GB2312" w:cs="仿宋_GB2312"/>
          <w:sz w:val="32"/>
          <w:szCs w:val="32"/>
        </w:rPr>
        <w:t>65.34%</w:t>
      </w:r>
      <w:r>
        <w:rPr>
          <w:rFonts w:hint="eastAsia" w:ascii="仿宋_GB2312" w:eastAsia="仿宋_GB2312" w:cs="仿宋_GB2312"/>
          <w:sz w:val="32"/>
          <w:szCs w:val="32"/>
        </w:rPr>
        <w:t>；新能源和可再生能源行业类</w:t>
      </w:r>
      <w:r>
        <w:rPr>
          <w:rFonts w:ascii="仿宋_GB2312" w:eastAsia="仿宋_GB2312" w:cs="仿宋_GB2312"/>
          <w:sz w:val="32"/>
          <w:szCs w:val="32"/>
        </w:rPr>
        <w:t>48</w:t>
      </w:r>
      <w:r>
        <w:rPr>
          <w:rFonts w:hint="eastAsia" w:ascii="仿宋_GB2312" w:eastAsia="仿宋_GB2312" w:cs="仿宋_GB2312"/>
          <w:sz w:val="32"/>
          <w:szCs w:val="32"/>
        </w:rPr>
        <w:t>件，占</w:t>
      </w:r>
      <w:r>
        <w:rPr>
          <w:rFonts w:ascii="仿宋_GB2312" w:eastAsia="仿宋_GB2312" w:cs="仿宋_GB2312"/>
          <w:sz w:val="32"/>
          <w:szCs w:val="32"/>
        </w:rPr>
        <w:t>19.12%</w:t>
      </w:r>
      <w:r>
        <w:rPr>
          <w:rFonts w:hint="eastAsia" w:ascii="仿宋_GB2312" w:eastAsia="仿宋_GB2312" w:cs="仿宋_GB2312"/>
          <w:sz w:val="32"/>
          <w:szCs w:val="32"/>
        </w:rPr>
        <w:t>；石油天然气行业类</w:t>
      </w:r>
      <w:r>
        <w:rPr>
          <w:rFonts w:ascii="仿宋_GB2312" w:eastAsia="仿宋_GB2312" w:cs="仿宋_GB2312"/>
          <w:sz w:val="32"/>
          <w:szCs w:val="32"/>
        </w:rPr>
        <w:t>17</w:t>
      </w:r>
      <w:r>
        <w:rPr>
          <w:rFonts w:hint="eastAsia" w:ascii="仿宋_GB2312" w:eastAsia="仿宋_GB2312" w:cs="仿宋_GB2312"/>
          <w:sz w:val="32"/>
          <w:szCs w:val="32"/>
        </w:rPr>
        <w:t>件，占</w:t>
      </w:r>
      <w:r>
        <w:rPr>
          <w:rFonts w:ascii="仿宋_GB2312" w:eastAsia="仿宋_GB2312" w:cs="仿宋_GB2312"/>
          <w:sz w:val="32"/>
          <w:szCs w:val="32"/>
        </w:rPr>
        <w:t>6.77%</w:t>
      </w:r>
      <w:r>
        <w:rPr>
          <w:rFonts w:hint="eastAsia" w:ascii="仿宋_GB2312" w:eastAsia="仿宋_GB2312" w:cs="仿宋_GB2312"/>
          <w:sz w:val="32"/>
          <w:szCs w:val="32"/>
        </w:rPr>
        <w:t>；煤炭行业类</w:t>
      </w:r>
      <w:r>
        <w:rPr>
          <w:rFonts w:ascii="仿宋_GB2312" w:eastAsia="仿宋_GB2312" w:cs="仿宋_GB2312"/>
          <w:sz w:val="32"/>
          <w:szCs w:val="32"/>
        </w:rPr>
        <w:t>5</w:t>
      </w:r>
      <w:r>
        <w:rPr>
          <w:rFonts w:hint="eastAsia" w:ascii="仿宋_GB2312" w:eastAsia="仿宋_GB2312" w:cs="仿宋_GB2312"/>
          <w:sz w:val="32"/>
          <w:szCs w:val="32"/>
        </w:rPr>
        <w:t>件，占</w:t>
      </w:r>
      <w:r>
        <w:rPr>
          <w:rFonts w:ascii="仿宋_GB2312" w:eastAsia="仿宋_GB2312" w:cs="仿宋_GB2312"/>
          <w:sz w:val="32"/>
          <w:szCs w:val="32"/>
        </w:rPr>
        <w:t>1.99%</w:t>
      </w:r>
      <w:r>
        <w:rPr>
          <w:rFonts w:hint="eastAsia" w:ascii="仿宋_GB2312" w:eastAsia="仿宋_GB2312" w:cs="仿宋_GB2312"/>
          <w:sz w:val="32"/>
          <w:szCs w:val="32"/>
        </w:rPr>
        <w:t>；其他事项</w:t>
      </w:r>
      <w:r>
        <w:rPr>
          <w:rFonts w:ascii="仿宋_GB2312" w:eastAsia="仿宋_GB2312" w:cs="仿宋_GB2312"/>
          <w:sz w:val="32"/>
          <w:szCs w:val="32"/>
        </w:rPr>
        <w:t>17</w:t>
      </w:r>
      <w:r>
        <w:rPr>
          <w:rFonts w:hint="eastAsia" w:ascii="仿宋_GB2312" w:eastAsia="仿宋_GB2312" w:cs="仿宋_GB2312"/>
          <w:sz w:val="32"/>
          <w:szCs w:val="32"/>
        </w:rPr>
        <w:t>件，占</w:t>
      </w:r>
      <w:r>
        <w:rPr>
          <w:rFonts w:ascii="仿宋_GB2312" w:eastAsia="仿宋_GB2312" w:cs="仿宋_GB2312"/>
          <w:sz w:val="32"/>
          <w:szCs w:val="32"/>
        </w:rPr>
        <w:t>6.77%</w:t>
      </w:r>
      <w:r>
        <w:rPr>
          <w:rFonts w:hint="eastAsia" w:ascii="仿宋_GB2312" w:eastAsia="仿宋_GB2312" w:cs="仿宋_GB2312"/>
          <w:sz w:val="32"/>
          <w:szCs w:val="32"/>
        </w:rPr>
        <w:t>。</w:t>
      </w:r>
    </w:p>
    <w:p>
      <w:pPr>
        <w:spacing w:line="6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投诉举报主要集中在电力行业，共13件。从业务分类情况看，电力安全方面2件，占15.38%;供电服务方面10件，占76.92%;其他方面1件，占7.69%</w:t>
      </w:r>
      <w:r>
        <w:rPr>
          <w:rFonts w:hint="eastAsia" w:ascii="仿宋_GB2312" w:eastAsia="仿宋_GB2312" w:cs="仿宋_GB2312"/>
          <w:color w:val="000000"/>
          <w:sz w:val="32"/>
          <w:szCs w:val="32"/>
        </w:rPr>
        <w:t>。（</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w:t>
      </w:r>
      <w:r>
        <w:rPr>
          <w:rFonts w:ascii="仿宋_GB2312" w:eastAsia="仿宋_GB2312" w:cs="仿宋_GB2312"/>
          <w:color w:val="000000"/>
          <w:sz w:val="32"/>
          <w:szCs w:val="32"/>
        </w:rPr>
        <w:t>电力行业</w:t>
      </w:r>
      <w:r>
        <w:rPr>
          <w:rFonts w:hint="eastAsia" w:ascii="仿宋_GB2312" w:eastAsia="仿宋_GB2312" w:cs="仿宋_GB2312"/>
          <w:color w:val="000000"/>
          <w:sz w:val="32"/>
          <w:szCs w:val="32"/>
        </w:rPr>
        <w:t>有效信息按业务分类情况见表二）。</w:t>
      </w: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2019</w:t>
      </w:r>
      <w:r>
        <w:rPr>
          <w:rFonts w:hint="eastAsia" w:ascii="仿宋_GB2312" w:eastAsia="仿宋_GB2312"/>
          <w:color w:val="000000"/>
          <w:sz w:val="32"/>
        </w:rPr>
        <w:t>年</w:t>
      </w:r>
      <w:r>
        <w:rPr>
          <w:rFonts w:ascii="仿宋_GB2312" w:eastAsia="仿宋_GB2312"/>
          <w:color w:val="000000"/>
          <w:sz w:val="32"/>
        </w:rPr>
        <w:t>6</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8947" w:type="dxa"/>
        <w:jc w:val="center"/>
        <w:tblInd w:w="0" w:type="dxa"/>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3"/>
        <w:gridCol w:w="1192"/>
        <w:gridCol w:w="7"/>
        <w:gridCol w:w="1218"/>
        <w:gridCol w:w="20"/>
        <w:gridCol w:w="1324"/>
        <w:gridCol w:w="11"/>
        <w:gridCol w:w="1154"/>
        <w:gridCol w:w="16"/>
        <w:gridCol w:w="1269"/>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36" w:type="dxa"/>
            <w:gridSpan w:val="2"/>
            <w:tcBorders>
              <w:top w:val="thinThickSmallGap" w:color="000000" w:sz="12" w:space="0"/>
              <w:bottom w:val="thinThickSmallGap" w:color="000000" w:sz="12" w:space="0"/>
              <w:right w:val="double" w:color="000000" w:sz="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op w:val="thinThickSmallGap" w:color="000000" w:sz="12" w:space="0"/>
              <w:left w:val="double" w:color="000000" w:sz="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5</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86</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26</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19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c>
          <w:tcPr>
            <w:tcW w:w="122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344"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137</w:t>
            </w:r>
          </w:p>
        </w:tc>
        <w:tc>
          <w:tcPr>
            <w:tcW w:w="116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w:t>
            </w:r>
          </w:p>
        </w:tc>
        <w:tc>
          <w:tcPr>
            <w:tcW w:w="1285"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164</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ascii="楷体_GB2312" w:eastAsia="楷体_GB2312"/>
          <w:color w:val="000000"/>
          <w:sz w:val="32"/>
        </w:rPr>
      </w:pPr>
      <w:r>
        <w:rPr>
          <w:rFonts w:hint="eastAsia" w:ascii="楷体_GB2312" w:eastAsia="楷体_GB2312"/>
          <w:color w:val="000000"/>
          <w:sz w:val="32"/>
        </w:rPr>
        <w:t>（三）区域分布情况</w:t>
      </w:r>
    </w:p>
    <w:p>
      <w:pPr>
        <w:spacing w:line="560" w:lineRule="exact"/>
        <w:ind w:firstLine="640" w:firstLineChars="200"/>
        <w:rPr>
          <w:rFonts w:hint="eastAsia" w:ascii="宋体" w:hAnsi="宋体" w:cs="宋体"/>
          <w:b/>
          <w:color w:val="000000"/>
          <w:kern w:val="0"/>
          <w:sz w:val="30"/>
          <w:szCs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吕梁市、太原市、临汾市、运城市、长治市等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按照投诉举报数量排序，吕梁市、朔州市、晋城市、太原市、长治市等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位。（2019年6月有效信息及投诉举报排名前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color w:val="000000"/>
          <w:sz w:val="32"/>
        </w:rPr>
        <w:t>2019年6月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333"/>
        <w:gridCol w:w="1400"/>
        <w:gridCol w:w="266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917"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2333"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400"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有效信息</w:t>
            </w:r>
          </w:p>
        </w:tc>
        <w:tc>
          <w:tcPr>
            <w:tcW w:w="2667"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450"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33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4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51</w:t>
            </w:r>
          </w:p>
        </w:tc>
        <w:tc>
          <w:tcPr>
            <w:tcW w:w="26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45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continue"/>
            <w:vAlign w:val="center"/>
          </w:tcPr>
          <w:p>
            <w:pPr>
              <w:spacing w:line="560" w:lineRule="exact"/>
              <w:jc w:val="center"/>
            </w:pPr>
          </w:p>
        </w:tc>
        <w:tc>
          <w:tcPr>
            <w:tcW w:w="2333"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40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37</w:t>
            </w:r>
          </w:p>
        </w:tc>
        <w:tc>
          <w:tcPr>
            <w:tcW w:w="2667"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其中：地方电力区域</w:t>
            </w:r>
          </w:p>
        </w:tc>
        <w:tc>
          <w:tcPr>
            <w:tcW w:w="145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333"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40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43</w:t>
            </w:r>
          </w:p>
        </w:tc>
        <w:tc>
          <w:tcPr>
            <w:tcW w:w="26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45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continue"/>
            <w:vAlign w:val="center"/>
          </w:tcPr>
          <w:p>
            <w:pPr>
              <w:spacing w:line="560" w:lineRule="exact"/>
              <w:jc w:val="center"/>
            </w:pPr>
          </w:p>
        </w:tc>
        <w:tc>
          <w:tcPr>
            <w:tcW w:w="2333" w:type="dxa"/>
            <w:vMerge w:val="continue"/>
            <w:vAlign w:val="center"/>
          </w:tcPr>
          <w:p>
            <w:pPr>
              <w:spacing w:line="560" w:lineRule="exact"/>
              <w:jc w:val="center"/>
            </w:pPr>
          </w:p>
        </w:tc>
        <w:tc>
          <w:tcPr>
            <w:tcW w:w="1400" w:type="dxa"/>
            <w:vMerge w:val="continue"/>
            <w:vAlign w:val="center"/>
          </w:tcPr>
          <w:p>
            <w:pPr>
              <w:spacing w:line="560" w:lineRule="exact"/>
              <w:jc w:val="center"/>
            </w:pPr>
          </w:p>
        </w:tc>
        <w:tc>
          <w:tcPr>
            <w:tcW w:w="2667"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其中：地方电力区域</w:t>
            </w:r>
          </w:p>
        </w:tc>
        <w:tc>
          <w:tcPr>
            <w:tcW w:w="145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33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4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30</w:t>
            </w:r>
          </w:p>
        </w:tc>
        <w:tc>
          <w:tcPr>
            <w:tcW w:w="2667"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晋城市</w:t>
            </w:r>
          </w:p>
        </w:tc>
        <w:tc>
          <w:tcPr>
            <w:tcW w:w="145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17" w:type="dxa"/>
            <w:vMerge w:val="continue"/>
            <w:vAlign w:val="center"/>
          </w:tcPr>
          <w:p>
            <w:pPr>
              <w:spacing w:line="560" w:lineRule="exact"/>
              <w:jc w:val="center"/>
            </w:pPr>
          </w:p>
        </w:tc>
        <w:tc>
          <w:tcPr>
            <w:tcW w:w="2333" w:type="dxa"/>
            <w:vAlign w:val="center"/>
          </w:tcPr>
          <w:p>
            <w:pPr>
              <w:spacing w:line="560" w:lineRule="exact"/>
              <w:jc w:val="center"/>
            </w:pPr>
            <w:r>
              <w:rPr>
                <w:rFonts w:hint="eastAsia" w:ascii="仿宋_GB2312" w:hAnsi="宋体" w:eastAsia="仿宋_GB2312" w:cs="仿宋_GB2312"/>
                <w:sz w:val="24"/>
                <w:szCs w:val="24"/>
                <w:lang w:val="en-US" w:eastAsia="zh-CN"/>
              </w:rPr>
              <w:t>其中：地方电力区域</w:t>
            </w:r>
          </w:p>
        </w:tc>
        <w:tc>
          <w:tcPr>
            <w:tcW w:w="140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19</w:t>
            </w:r>
          </w:p>
        </w:tc>
        <w:tc>
          <w:tcPr>
            <w:tcW w:w="2667" w:type="dxa"/>
            <w:vMerge w:val="continue"/>
            <w:vAlign w:val="center"/>
          </w:tcPr>
          <w:p>
            <w:pPr>
              <w:spacing w:line="560" w:lineRule="exact"/>
              <w:jc w:val="center"/>
              <w:rPr>
                <w:rFonts w:ascii="仿宋_GB2312" w:hAnsi="宋体" w:eastAsia="仿宋_GB2312" w:cs="仿宋_GB2312"/>
                <w:sz w:val="24"/>
                <w:szCs w:val="24"/>
              </w:rPr>
            </w:pPr>
          </w:p>
        </w:tc>
        <w:tc>
          <w:tcPr>
            <w:tcW w:w="1450"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33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14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29</w:t>
            </w:r>
          </w:p>
        </w:tc>
        <w:tc>
          <w:tcPr>
            <w:tcW w:w="26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45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33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长治市</w:t>
            </w:r>
          </w:p>
        </w:tc>
        <w:tc>
          <w:tcPr>
            <w:tcW w:w="140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24</w:t>
            </w:r>
          </w:p>
        </w:tc>
        <w:tc>
          <w:tcPr>
            <w:tcW w:w="26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长治市</w:t>
            </w:r>
          </w:p>
        </w:tc>
        <w:tc>
          <w:tcPr>
            <w:tcW w:w="145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bl>
    <w:p>
      <w:pPr>
        <w:spacing w:line="560" w:lineRule="exact"/>
        <w:ind w:firstLine="640" w:firstLineChars="200"/>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rPr>
        <w:t>二、反映的主要问题及原因分析</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hint="eastAsia" w:ascii="仿宋" w:hAnsi="仿宋" w:eastAsia="仿宋" w:cs="仿宋"/>
          <w:color w:val="000000"/>
          <w:kern w:val="0"/>
          <w:sz w:val="32"/>
          <w:szCs w:val="32"/>
          <w:lang w:eastAsia="zh-CN"/>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电力行业在供电服务方面反映的问题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w:t>
      </w:r>
      <w:r>
        <w:rPr>
          <w:rFonts w:hint="eastAsia" w:ascii="仿宋" w:hAnsi="仿宋" w:eastAsia="仿宋" w:cs="仿宋"/>
          <w:color w:val="000000"/>
          <w:kern w:val="0"/>
          <w:sz w:val="32"/>
          <w:szCs w:val="32"/>
          <w:shd w:val="clear" w:color="auto" w:fill="FFFFFF"/>
          <w:lang w:val="en-US" w:eastAsia="zh-CN"/>
        </w:rPr>
        <w:t>线路半径大，负荷重</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频繁发生故障停电，</w:t>
      </w:r>
      <w:r>
        <w:rPr>
          <w:rFonts w:hint="eastAsia" w:ascii="仿宋" w:hAnsi="仿宋" w:eastAsia="仿宋" w:cs="仿宋"/>
          <w:color w:val="000000"/>
          <w:kern w:val="0"/>
          <w:sz w:val="32"/>
          <w:szCs w:val="32"/>
          <w:shd w:val="clear" w:color="auto" w:fill="FFFFFF"/>
        </w:rPr>
        <w:t>影响群众正常生产生活</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如：忻州市宁武县余庄乡东庄村近一年内停电17次</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吕梁石楼县裴沟乡一个月停电8次；</w:t>
      </w:r>
      <w:r>
        <w:rPr>
          <w:rFonts w:hint="eastAsia" w:ascii="仿宋" w:hAnsi="仿宋" w:eastAsia="仿宋" w:cs="仿宋"/>
          <w:color w:val="000000"/>
          <w:kern w:val="0"/>
          <w:sz w:val="32"/>
          <w:szCs w:val="32"/>
          <w:shd w:val="clear" w:color="auto" w:fill="FFFFFF"/>
        </w:rPr>
        <w:t>二是部分地区停电时间较长、抢修不及时</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如：晋城市沁水县游泳馆停电3天</w:t>
      </w:r>
      <w:r>
        <w:rPr>
          <w:rFonts w:hint="eastAsia" w:ascii="仿宋" w:hAnsi="仿宋" w:eastAsia="仿宋" w:cs="仿宋"/>
          <w:color w:val="000000"/>
          <w:kern w:val="0"/>
          <w:sz w:val="32"/>
          <w:szCs w:val="32"/>
          <w:shd w:val="clear" w:color="auto" w:fill="FFFFFF"/>
        </w:rPr>
        <w:t>；三是个别</w:t>
      </w:r>
      <w:r>
        <w:rPr>
          <w:rFonts w:hint="eastAsia" w:ascii="仿宋" w:hAnsi="仿宋" w:eastAsia="仿宋" w:cs="仿宋"/>
          <w:color w:val="000000"/>
          <w:kern w:val="0"/>
          <w:sz w:val="32"/>
          <w:szCs w:val="32"/>
          <w:shd w:val="clear" w:color="auto" w:fill="FFFFFF"/>
          <w:lang w:eastAsia="zh-CN"/>
        </w:rPr>
        <w:t>老旧小区</w:t>
      </w:r>
      <w:r>
        <w:rPr>
          <w:rFonts w:hint="eastAsia" w:ascii="仿宋" w:hAnsi="仿宋" w:eastAsia="仿宋" w:cs="仿宋"/>
          <w:color w:val="000000"/>
          <w:kern w:val="0"/>
          <w:sz w:val="32"/>
          <w:szCs w:val="32"/>
          <w:shd w:val="clear" w:color="auto" w:fill="FFFFFF"/>
        </w:rPr>
        <w:t>电力设施</w:t>
      </w:r>
      <w:r>
        <w:rPr>
          <w:rFonts w:hint="eastAsia" w:ascii="仿宋" w:hAnsi="仿宋" w:eastAsia="仿宋" w:cs="仿宋"/>
          <w:color w:val="000000"/>
          <w:kern w:val="0"/>
          <w:sz w:val="32"/>
          <w:szCs w:val="32"/>
          <w:shd w:val="clear" w:color="auto" w:fill="FFFFFF"/>
          <w:lang w:eastAsia="zh-CN"/>
        </w:rPr>
        <w:t>线路混乱</w:t>
      </w:r>
      <w:r>
        <w:rPr>
          <w:rFonts w:hint="eastAsia" w:ascii="仿宋" w:hAnsi="仿宋" w:eastAsia="仿宋" w:cs="仿宋"/>
          <w:color w:val="000000"/>
          <w:kern w:val="0"/>
          <w:sz w:val="32"/>
          <w:szCs w:val="32"/>
          <w:shd w:val="clear" w:color="auto" w:fill="FFFFFF"/>
        </w:rPr>
        <w:t>，存在安全隐患。</w:t>
      </w:r>
      <w:r>
        <w:rPr>
          <w:rFonts w:hint="eastAsia" w:ascii="仿宋" w:hAnsi="仿宋" w:eastAsia="仿宋" w:cs="仿宋"/>
          <w:color w:val="000000"/>
          <w:kern w:val="0"/>
          <w:sz w:val="32"/>
          <w:szCs w:val="32"/>
          <w:shd w:val="clear" w:color="auto" w:fill="FFFFFF"/>
          <w:lang w:eastAsia="zh-CN"/>
        </w:rPr>
        <w:t>如：朔州市山阴县</w:t>
      </w:r>
      <w:r>
        <w:rPr>
          <w:rFonts w:hint="eastAsia" w:ascii="仿宋" w:hAnsi="仿宋" w:eastAsia="仿宋" w:cs="仿宋"/>
          <w:color w:val="000000"/>
          <w:kern w:val="0"/>
          <w:sz w:val="32"/>
          <w:szCs w:val="32"/>
          <w:shd w:val="clear" w:color="auto" w:fill="FFFFFF"/>
        </w:rPr>
        <w:t>同太南路静怡小区</w:t>
      </w:r>
      <w:r>
        <w:rPr>
          <w:rFonts w:hint="eastAsia" w:ascii="仿宋" w:hAnsi="仿宋" w:eastAsia="仿宋" w:cs="仿宋"/>
          <w:color w:val="000000"/>
          <w:kern w:val="0"/>
          <w:sz w:val="32"/>
          <w:szCs w:val="32"/>
          <w:shd w:val="clear" w:color="auto" w:fill="FFFFFF"/>
          <w:lang w:eastAsia="zh-CN"/>
        </w:rPr>
        <w:t>表箱内线路混乱，存在安全隐患。</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宋体" w:hAnsi="宋体" w:cs="宋体"/>
          <w:color w:val="000000"/>
          <w:sz w:val="32"/>
          <w:szCs w:val="32"/>
          <w:shd w:val="clear" w:color="auto" w:fill="FFFFFF"/>
        </w:rPr>
        <w:t> </w:t>
      </w:r>
      <w:r>
        <w:rPr>
          <w:rFonts w:hint="eastAsia" w:ascii="仿宋" w:hAnsi="仿宋" w:eastAsia="仿宋" w:cs="仿宋"/>
          <w:color w:val="000000"/>
          <w:sz w:val="32"/>
          <w:szCs w:val="32"/>
          <w:shd w:val="clear" w:color="auto" w:fill="FFFFFF"/>
        </w:rPr>
        <w:t>新能源和可再生能源行业主要反映了部分地区分布式光伏发电项目并网存在困难，</w:t>
      </w:r>
      <w:r>
        <w:rPr>
          <w:rFonts w:hint="eastAsia" w:ascii="仿宋" w:hAnsi="仿宋" w:eastAsia="仿宋" w:cs="仿宋"/>
          <w:color w:val="000000"/>
          <w:sz w:val="32"/>
          <w:szCs w:val="32"/>
          <w:shd w:val="clear" w:color="auto" w:fill="FFFFFF"/>
          <w:lang w:eastAsia="zh-CN"/>
        </w:rPr>
        <w:t>补贴</w:t>
      </w:r>
      <w:r>
        <w:rPr>
          <w:rFonts w:hint="eastAsia" w:ascii="仿宋" w:hAnsi="仿宋" w:eastAsia="仿宋" w:cs="仿宋"/>
          <w:color w:val="000000"/>
          <w:sz w:val="32"/>
          <w:szCs w:val="32"/>
          <w:shd w:val="clear" w:color="auto" w:fill="FFFFFF"/>
        </w:rPr>
        <w:t>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经分析，造成以上问题的主要原因：一是部分供电企业资金投入不足，配网设施建设改造滞后；二是部分供电企业抢修力量不足，不能及时抢修用电高峰时期多发的停电故障；三是个别供电企业</w:t>
      </w:r>
      <w:r>
        <w:rPr>
          <w:rFonts w:hint="eastAsia" w:ascii="仿宋" w:hAnsi="仿宋" w:eastAsia="仿宋" w:cs="仿宋"/>
          <w:color w:val="000000"/>
          <w:sz w:val="32"/>
          <w:szCs w:val="32"/>
          <w:shd w:val="clear" w:color="auto" w:fill="FFFFFF"/>
          <w:lang w:eastAsia="zh-CN"/>
        </w:rPr>
        <w:t>服务意识不强，未及时处理老旧小区混乱线路</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是个别</w:t>
      </w:r>
      <w:r>
        <w:rPr>
          <w:rFonts w:hint="eastAsia" w:ascii="仿宋" w:hAnsi="仿宋" w:eastAsia="仿宋" w:cs="仿宋"/>
          <w:color w:val="000000"/>
          <w:sz w:val="32"/>
          <w:szCs w:val="32"/>
          <w:shd w:val="clear" w:color="auto" w:fill="FFFFFF"/>
          <w:lang w:eastAsia="zh-CN"/>
        </w:rPr>
        <w:t>供电企业未规范</w:t>
      </w:r>
      <w:r>
        <w:rPr>
          <w:rFonts w:hint="eastAsia" w:ascii="仿宋" w:hAnsi="仿宋" w:eastAsia="仿宋" w:cs="仿宋"/>
          <w:color w:val="000000"/>
          <w:sz w:val="32"/>
          <w:szCs w:val="32"/>
          <w:shd w:val="clear" w:color="auto" w:fill="FFFFFF"/>
        </w:rPr>
        <w:t>分布式光伏发电项目费用结算流程等。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rPr>
        <w:t>三、处理结果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2019年6月</w:t>
      </w:r>
      <w:r>
        <w:rPr>
          <w:rFonts w:hint="eastAsia" w:ascii="仿宋_GB2312" w:eastAsia="仿宋_GB2312"/>
          <w:color w:val="000000"/>
          <w:sz w:val="32"/>
        </w:rPr>
        <w:t>共收到投诉举报信息15件，根据国家有关法律法规规定，山西能源监管办对属于监管职责范围的10（受理数）件进行了受理，占投诉举报量的66.67%。</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一是通过解释说明，使当事人消除了误解；二是通过协调督促，加快电能质量问题的解决</w:t>
      </w:r>
      <w:r>
        <w:rPr>
          <w:rFonts w:hint="eastAsia" w:ascii="仿宋" w:hAnsi="仿宋" w:eastAsia="仿宋" w:cs="仿宋"/>
          <w:color w:val="000000"/>
          <w:sz w:val="32"/>
          <w:szCs w:val="32"/>
          <w:shd w:val="clear" w:color="auto" w:fill="FFFFFF"/>
          <w:lang w:eastAsia="zh-CN"/>
        </w:rPr>
        <w:t>；三是通过责令整改，</w:t>
      </w:r>
      <w:r>
        <w:rPr>
          <w:rFonts w:hint="eastAsia" w:ascii="仿宋" w:hAnsi="仿宋" w:eastAsia="仿宋" w:cs="仿宋"/>
          <w:color w:val="000000"/>
          <w:sz w:val="32"/>
          <w:szCs w:val="32"/>
          <w:shd w:val="clear" w:color="auto" w:fill="FFFFFF"/>
        </w:rPr>
        <w:t>及时消除了安全隐患,保障了群众正常生产生活。</w:t>
      </w:r>
    </w:p>
    <w:p>
      <w:pPr>
        <w:spacing w:line="600" w:lineRule="exact"/>
        <w:ind w:firstLine="640" w:firstLineChars="200"/>
        <w:jc w:val="left"/>
        <w:rPr>
          <w:rFonts w:ascii="仿宋_GB2312" w:eastAsia="仿宋_GB2312"/>
          <w:color w:val="000000"/>
          <w:sz w:val="32"/>
        </w:rPr>
        <w:sectPr>
          <w:headerReference r:id="rId3" w:type="default"/>
          <w:footerReference r:id="rId4" w:type="default"/>
          <w:footerReference r:id="rId5" w:type="even"/>
          <w:pgSz w:w="11906" w:h="16838"/>
          <w:pgMar w:top="2041" w:right="1531" w:bottom="1928" w:left="1644" w:header="851" w:footer="992" w:gutter="0"/>
          <w:pgNumType w:start="1"/>
          <w:cols w:space="708" w:num="1"/>
          <w:docGrid w:linePitch="312" w:charSpace="0"/>
        </w:sectPr>
      </w:pPr>
      <w:r>
        <w:rPr>
          <w:rFonts w:hint="eastAsia" w:ascii="仿宋_GB2312" w:eastAsia="仿宋_GB2312"/>
          <w:sz w:val="32"/>
        </w:rPr>
        <w:t>2019年6月</w:t>
      </w:r>
      <w:r>
        <w:rPr>
          <w:rFonts w:hint="eastAsia" w:ascii="仿宋_GB2312" w:eastAsia="仿宋_GB2312"/>
          <w:color w:val="000000"/>
          <w:sz w:val="32"/>
        </w:rPr>
        <w:t>已办结投诉举报14件</w:t>
      </w:r>
      <w:r>
        <w:rPr>
          <w:rFonts w:hint="eastAsia" w:ascii="仿宋_GB2312" w:eastAsia="仿宋_GB2312" w:cs="仿宋_GB2312"/>
          <w:color w:val="000000"/>
          <w:sz w:val="32"/>
          <w:szCs w:val="32"/>
        </w:rPr>
        <w:t>，占投诉举报受理量的</w:t>
      </w:r>
      <w:r>
        <w:rPr>
          <w:rFonts w:ascii="仿宋_GB2312" w:eastAsia="仿宋_GB2312" w:cs="仿宋_GB2312"/>
          <w:color w:val="000000"/>
          <w:sz w:val="32"/>
          <w:szCs w:val="32"/>
        </w:rPr>
        <w:t>140.00%</w:t>
      </w:r>
      <w:r>
        <w:rPr>
          <w:rFonts w:hint="eastAsia" w:ascii="仿宋_GB2312" w:eastAsia="仿宋_GB2312" w:cs="仿宋_GB2312"/>
          <w:color w:val="000000"/>
          <w:sz w:val="32"/>
          <w:szCs w:val="32"/>
        </w:rPr>
        <w:t>；完成回访</w:t>
      </w:r>
      <w:r>
        <w:rPr>
          <w:rFonts w:ascii="仿宋_GB2312" w:eastAsia="仿宋_GB2312" w:cs="仿宋_GB2312"/>
          <w:color w:val="000000"/>
          <w:sz w:val="32"/>
          <w:szCs w:val="32"/>
        </w:rPr>
        <w:t>14</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78.57</w:t>
      </w:r>
      <w:r>
        <w:rPr>
          <w:rFonts w:hint="eastAsia" w:ascii="仿宋_GB2312" w:eastAsia="仿宋_GB2312" w:cs="仿宋_GB2312"/>
          <w:color w:val="000000"/>
          <w:sz w:val="32"/>
          <w:szCs w:val="32"/>
        </w:rPr>
        <w:t>％。</w:t>
      </w:r>
    </w:p>
    <w:p>
      <w:pPr>
        <w:rPr>
          <w:rFonts w:ascii="仿宋_GB2312" w:eastAsia="仿宋_GB2312"/>
          <w:color w:val="000000"/>
          <w:sz w:val="28"/>
          <w:szCs w:val="28"/>
        </w:rPr>
      </w:pPr>
      <w:bookmarkStart w:id="1" w:name="_GoBack"/>
      <w:bookmarkEnd w:id="1"/>
    </w:p>
    <w:sectPr>
      <w:headerReference r:id="rId6" w:type="default"/>
      <w:footerReference r:id="rId7" w:type="default"/>
      <w:footerReference r:id="rId8"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BE66C6"/>
    <w:rsid w:val="0934481D"/>
    <w:rsid w:val="13F504B6"/>
    <w:rsid w:val="19FE63AF"/>
    <w:rsid w:val="2527353F"/>
    <w:rsid w:val="3558530E"/>
    <w:rsid w:val="4E0658E1"/>
    <w:rsid w:val="4EDD3C4F"/>
    <w:rsid w:val="6D6328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font61"/>
    <w:uiPriority w:val="0"/>
    <w:rPr>
      <w:rFonts w:hint="eastAsia" w:ascii="仿宋_GB2312" w:eastAsia="仿宋_GB2312" w:cs="仿宋_GB2312"/>
      <w:color w:val="000000"/>
      <w:sz w:val="18"/>
      <w:szCs w:val="18"/>
    </w:rPr>
  </w:style>
  <w:style w:type="character" w:customStyle="1" w:styleId="11">
    <w:name w:val="页眉 Char"/>
    <w:link w:val="4"/>
    <w:qFormat/>
    <w:uiPriority w:val="99"/>
    <w:rPr>
      <w:sz w:val="18"/>
      <w:szCs w:val="18"/>
    </w:rPr>
  </w:style>
  <w:style w:type="character" w:customStyle="1" w:styleId="12">
    <w:name w:val="font101"/>
    <w:qFormat/>
    <w:uiPriority w:val="0"/>
    <w:rPr>
      <w:rFonts w:hint="eastAsia" w:ascii="仿宋_GB2312" w:eastAsia="仿宋_GB2312" w:cs="仿宋_GB2312"/>
      <w:color w:val="FF0000"/>
      <w:sz w:val="18"/>
      <w:szCs w:val="18"/>
    </w:rPr>
  </w:style>
  <w:style w:type="character" w:customStyle="1" w:styleId="13">
    <w:name w:val="页脚 Char"/>
    <w:link w:val="3"/>
    <w:qFormat/>
    <w:uiPriority w:val="99"/>
    <w:rPr>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25</TotalTime>
  <ScaleCrop>false</ScaleCrop>
  <LinksUpToDate>false</LinksUpToDate>
  <CharactersWithSpaces>2518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2019-07-25T08:55:52Z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