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92"/>
        </w:tabs>
        <w:rPr>
          <w:rFonts w:hint="eastAsia" w:ascii="黑体" w:hAnsi="宋体" w:eastAsia="黑体"/>
          <w:color w:val="000000"/>
          <w:sz w:val="40"/>
          <w:szCs w:val="44"/>
        </w:rPr>
      </w:pPr>
    </w:p>
    <w:p>
      <w:pPr>
        <w:tabs>
          <w:tab w:val="left" w:pos="592"/>
        </w:tabs>
        <w:jc w:val="center"/>
        <w:rPr>
          <w:rFonts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2019年7 月12398能源监管热线</w:t>
      </w:r>
    </w:p>
    <w:p>
      <w:pPr>
        <w:tabs>
          <w:tab w:val="left" w:pos="592"/>
        </w:tabs>
        <w:jc w:val="center"/>
        <w:rPr>
          <w:rFonts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投诉举报处理情况</w:t>
      </w:r>
      <w:r>
        <w:rPr>
          <w:rFonts w:hint="eastAsia" w:ascii="黑体" w:hAnsi="宋体" w:eastAsia="黑体"/>
          <w:color w:val="000000"/>
          <w:sz w:val="44"/>
          <w:szCs w:val="44"/>
          <w:lang w:eastAsia="zh-CN"/>
        </w:rPr>
        <w:t>的</w:t>
      </w:r>
      <w:r>
        <w:rPr>
          <w:rFonts w:hint="eastAsia" w:ascii="黑体" w:hAnsi="宋体" w:eastAsia="黑体"/>
          <w:color w:val="000000"/>
          <w:sz w:val="44"/>
          <w:szCs w:val="44"/>
        </w:rPr>
        <w:t>通报</w:t>
      </w:r>
    </w:p>
    <w:p>
      <w:pPr>
        <w:spacing w:line="560" w:lineRule="exact"/>
        <w:ind w:firstLine="643" w:firstLineChars="200"/>
        <w:jc w:val="center"/>
        <w:rPr>
          <w:rFonts w:ascii="仿宋_GB2312" w:eastAsia="仿宋_GB2312"/>
          <w:b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为了保护能源投资者、经营者、使用者的合法权益，维护能源市场秩序，依法履行监管职责，</w:t>
      </w:r>
      <w:r>
        <w:rPr>
          <w:rFonts w:ascii="仿宋_GB2312" w:eastAsia="仿宋_GB2312" w:cs="仿宋_GB2312"/>
          <w:color w:val="000000"/>
          <w:sz w:val="32"/>
          <w:szCs w:val="32"/>
        </w:rPr>
        <w:t>山西能源监管办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积极畅通投诉举报渠道，切实发挥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能源监管热线（含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电话、传真、电子邮件等）的作用，认真受理能源监管投诉举报事项，定期公布投诉举报处理情况。现将</w:t>
      </w:r>
      <w:r>
        <w:rPr>
          <w:rFonts w:asci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能源监管热线</w:t>
      </w:r>
      <w:r>
        <w:rPr>
          <w:rFonts w:hint="eastAsia" w:ascii="仿宋_GB2312" w:eastAsia="仿宋_GB2312" w:cs="仿宋_GB2312"/>
          <w:sz w:val="32"/>
          <w:szCs w:val="32"/>
        </w:rPr>
        <w:t>（以下简称</w:t>
      </w:r>
      <w:r>
        <w:rPr>
          <w:rFonts w:ascii="仿宋_GB2312" w:eastAsia="仿宋_GB2312" w:cs="仿宋_GB2312"/>
          <w:sz w:val="32"/>
          <w:szCs w:val="32"/>
        </w:rPr>
        <w:t>12398</w:t>
      </w:r>
      <w:r>
        <w:rPr>
          <w:rFonts w:hint="eastAsia" w:ascii="仿宋_GB2312" w:eastAsia="仿宋_GB2312" w:cs="仿宋_GB2312"/>
          <w:sz w:val="32"/>
          <w:szCs w:val="32"/>
        </w:rPr>
        <w:t>热线）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投诉举报处理情况通报如下：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  <w:lang w:val="en-US" w:eastAsia="zh-CN"/>
        </w:rPr>
        <w:t>一、</w:t>
      </w:r>
      <w:r>
        <w:rPr>
          <w:rFonts w:hint="eastAsia" w:ascii="黑体" w:eastAsia="黑体"/>
          <w:color w:val="000000"/>
          <w:sz w:val="32"/>
        </w:rPr>
        <w:t>基本情况</w:t>
      </w:r>
    </w:p>
    <w:p>
      <w:pPr>
        <w:spacing w:line="560" w:lineRule="exact"/>
        <w:ind w:firstLine="480" w:firstLineChars="150"/>
        <w:rPr>
          <w:rFonts w:hint="eastAsia"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（一）收到有效信息情况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月，</w:t>
      </w:r>
      <w:r>
        <w:rPr>
          <w:rFonts w:ascii="仿宋_GB2312" w:eastAsia="仿宋_GB2312" w:cs="仿宋_GB2312"/>
          <w:color w:val="000000"/>
          <w:sz w:val="32"/>
          <w:szCs w:val="32"/>
        </w:rPr>
        <w:t>山西能源监管办12398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热线共收到有效信息</w:t>
      </w:r>
      <w:r>
        <w:rPr>
          <w:rFonts w:ascii="仿宋_GB2312" w:eastAsia="仿宋_GB2312" w:cs="仿宋_GB2312"/>
          <w:color w:val="000000"/>
          <w:sz w:val="32"/>
          <w:szCs w:val="32"/>
        </w:rPr>
        <w:t>290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件，环比</w:t>
      </w:r>
      <w:r>
        <w:rPr>
          <w:rFonts w:ascii="仿宋_GB2312" w:eastAsia="仿宋_GB2312" w:cs="仿宋_GB2312"/>
          <w:color w:val="000000"/>
          <w:sz w:val="32"/>
          <w:szCs w:val="32"/>
        </w:rPr>
        <w:t>增加15.54%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，同比</w:t>
      </w:r>
      <w:r>
        <w:rPr>
          <w:rFonts w:ascii="仿宋_GB2312" w:eastAsia="仿宋_GB2312" w:cs="仿宋_GB2312"/>
          <w:color w:val="000000"/>
          <w:sz w:val="32"/>
          <w:szCs w:val="32"/>
        </w:rPr>
        <w:t>减少8.52%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按诉求性质分类，投诉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件，占有效信息的</w:t>
      </w:r>
      <w:r>
        <w:rPr>
          <w:rFonts w:ascii="仿宋_GB2312" w:eastAsia="仿宋_GB2312" w:cs="仿宋_GB2312"/>
          <w:color w:val="000000"/>
          <w:sz w:val="32"/>
          <w:szCs w:val="32"/>
        </w:rPr>
        <w:t>1.72%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；咨询</w:t>
      </w:r>
      <w:r>
        <w:rPr>
          <w:rFonts w:ascii="仿宋_GB2312" w:eastAsia="仿宋_GB2312" w:cs="仿宋_GB2312"/>
          <w:color w:val="000000"/>
          <w:sz w:val="32"/>
          <w:szCs w:val="32"/>
        </w:rPr>
        <w:t>27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件，占有效信息的</w:t>
      </w:r>
      <w:r>
        <w:rPr>
          <w:rFonts w:ascii="仿宋_GB2312" w:eastAsia="仿宋_GB2312" w:cs="仿宋_GB2312"/>
          <w:color w:val="000000"/>
          <w:sz w:val="32"/>
          <w:szCs w:val="32"/>
        </w:rPr>
        <w:t>94.83%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；表扬、求助、建议等其他方面</w:t>
      </w:r>
      <w:r>
        <w:rPr>
          <w:rFonts w:asci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件，占有效信息的</w:t>
      </w:r>
      <w:r>
        <w:rPr>
          <w:rFonts w:ascii="仿宋_GB2312" w:eastAsia="仿宋_GB2312" w:cs="仿宋_GB2312"/>
          <w:color w:val="000000"/>
          <w:sz w:val="32"/>
          <w:szCs w:val="32"/>
        </w:rPr>
        <w:t>3.45%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按反映渠道分类，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电话</w:t>
      </w:r>
      <w:r>
        <w:rPr>
          <w:rFonts w:ascii="仿宋_GB2312" w:eastAsia="仿宋_GB2312" w:cs="仿宋_GB2312"/>
          <w:color w:val="000000"/>
          <w:sz w:val="32"/>
          <w:szCs w:val="32"/>
        </w:rPr>
        <w:t>287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留言3件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。（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收到有效信息情况见表一）</w:t>
      </w: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 xml:space="preserve">表一 </w:t>
      </w:r>
      <w:r>
        <w:rPr>
          <w:rFonts w:hint="eastAsia" w:ascii="仿宋_GB2312" w:eastAsia="仿宋_GB2312"/>
          <w:color w:val="000000"/>
          <w:sz w:val="32"/>
        </w:rPr>
        <w:t>2019年7月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收到有效信息情况</w:t>
      </w:r>
    </w:p>
    <w:p>
      <w:pPr>
        <w:widowControl/>
        <w:snapToGrid w:val="0"/>
        <w:spacing w:beforeLines="50" w:afterLines="50" w:line="280" w:lineRule="exact"/>
        <w:ind w:right="125"/>
        <w:jc w:val="right"/>
        <w:rPr>
          <w:rFonts w:ascii="宋体" w:hAnsi="宋体" w:cs="宋体"/>
          <w:color w:val="000000"/>
          <w:kern w:val="0"/>
          <w:sz w:val="24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</w:rPr>
        <w:t>单位：件</w:t>
      </w:r>
    </w:p>
    <w:tbl>
      <w:tblPr>
        <w:tblW w:w="86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1239"/>
        <w:gridCol w:w="1239"/>
        <w:gridCol w:w="1239"/>
        <w:gridCol w:w="1239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33" w:type="dxa"/>
            <w:tcBorders>
              <w:top w:val="thinThickSmallGap" w:color="000000" w:sz="12" w:space="0"/>
              <w:left w:val="thinThickSmallGap" w:color="000000" w:sz="1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反映渠道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投诉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举报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咨询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double" w:color="000000" w:sz="2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12398电话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39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    真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留言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    他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double" w:color="auto" w:sz="4" w:space="0"/>
              <w:left w:val="thinThickSmallGap" w:color="000000" w:sz="12" w:space="0"/>
              <w:bottom w:val="thickThinSmallGap" w:color="000000" w:sz="12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    计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39" w:type="dxa"/>
            <w:tcBorders>
              <w:top w:val="double" w:color="auto" w:sz="4" w:space="0"/>
              <w:left w:val="single" w:color="000000" w:sz="4" w:space="0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290</w:t>
            </w:r>
          </w:p>
        </w:tc>
      </w:tr>
    </w:tbl>
    <w:p>
      <w:pPr>
        <w:widowControl/>
        <w:snapToGrid w:val="0"/>
        <w:spacing w:line="36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>（二）分类情况</w:t>
      </w:r>
    </w:p>
    <w:p>
      <w:pPr>
        <w:spacing w:line="64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月收到的有效信息中，电力行业类</w:t>
      </w:r>
      <w:r>
        <w:rPr>
          <w:rFonts w:ascii="仿宋_GB2312" w:eastAsia="仿宋_GB2312" w:cs="仿宋_GB2312"/>
          <w:sz w:val="32"/>
          <w:szCs w:val="32"/>
        </w:rPr>
        <w:t>194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66.90%</w:t>
      </w:r>
      <w:r>
        <w:rPr>
          <w:rFonts w:hint="eastAsia" w:ascii="仿宋_GB2312" w:eastAsia="仿宋_GB2312" w:cs="仿宋_GB2312"/>
          <w:sz w:val="32"/>
          <w:szCs w:val="32"/>
        </w:rPr>
        <w:t>；新能源和可再生能源行业类</w:t>
      </w:r>
      <w:r>
        <w:rPr>
          <w:rFonts w:ascii="仿宋_GB2312" w:eastAsia="仿宋_GB2312" w:cs="仿宋_GB2312"/>
          <w:sz w:val="32"/>
          <w:szCs w:val="32"/>
        </w:rPr>
        <w:t>58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20%</w:t>
      </w:r>
      <w:r>
        <w:rPr>
          <w:rFonts w:hint="eastAsia" w:ascii="仿宋_GB2312" w:eastAsia="仿宋_GB2312" w:cs="仿宋_GB2312"/>
          <w:sz w:val="32"/>
          <w:szCs w:val="32"/>
        </w:rPr>
        <w:t>；石油天然气行业类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6.90%</w:t>
      </w:r>
      <w:r>
        <w:rPr>
          <w:rFonts w:hint="eastAsia" w:ascii="仿宋_GB2312" w:eastAsia="仿宋_GB2312" w:cs="仿宋_GB2312"/>
          <w:sz w:val="32"/>
          <w:szCs w:val="32"/>
        </w:rPr>
        <w:t>；煤炭行业类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0.34%</w:t>
      </w:r>
      <w:r>
        <w:rPr>
          <w:rFonts w:hint="eastAsia" w:ascii="仿宋_GB2312" w:eastAsia="仿宋_GB2312" w:cs="仿宋_GB2312"/>
          <w:sz w:val="32"/>
          <w:szCs w:val="32"/>
        </w:rPr>
        <w:t>；其他事项</w:t>
      </w:r>
      <w:r>
        <w:rPr>
          <w:rFonts w:ascii="仿宋_GB2312" w:eastAsia="仿宋_GB2312" w:cs="仿宋_GB2312"/>
          <w:sz w:val="32"/>
          <w:szCs w:val="32"/>
        </w:rPr>
        <w:t>17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5.86%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投诉举报主要集中在电力行业，共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eastAsia="仿宋_GB2312" w:cs="仿宋_GB2312"/>
          <w:color w:val="000000"/>
          <w:sz w:val="32"/>
          <w:szCs w:val="32"/>
        </w:rPr>
        <w:t>件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全部为</w:t>
      </w:r>
      <w:r>
        <w:rPr>
          <w:rFonts w:ascii="仿宋_GB2312" w:eastAsia="仿宋_GB2312" w:cs="仿宋_GB2312"/>
          <w:color w:val="000000"/>
          <w:sz w:val="32"/>
          <w:szCs w:val="32"/>
        </w:rPr>
        <w:t>供电服务方面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。（</w:t>
      </w:r>
      <w:r>
        <w:rPr>
          <w:rFonts w:asci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>电力行业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有效信息按业务分类情况见表二）。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表二</w:t>
      </w:r>
      <w:r>
        <w:rPr>
          <w:rFonts w:ascii="宋体" w:hAnsi="宋体" w:cs="宋体"/>
          <w:b/>
          <w:color w:val="000000"/>
          <w:kern w:val="0"/>
          <w:sz w:val="30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</w:rPr>
        <w:t>2019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ascii="仿宋_GB2312" w:eastAsia="仿宋_GB2312"/>
          <w:color w:val="000000"/>
          <w:sz w:val="32"/>
        </w:rPr>
        <w:t>7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ascii="宋体" w:hAnsi="宋体" w:cs="宋体"/>
          <w:b/>
          <w:kern w:val="0"/>
          <w:sz w:val="30"/>
          <w:szCs w:val="32"/>
        </w:rPr>
        <w:t>电力行业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有效信息按业务分类情况</w:t>
      </w:r>
    </w:p>
    <w:p>
      <w:pPr>
        <w:widowControl/>
        <w:snapToGrid w:val="0"/>
        <w:jc w:val="right"/>
        <w:rPr>
          <w:rFonts w:asci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</w:rPr>
        <w:t>单位：件</w:t>
      </w:r>
    </w:p>
    <w:tbl>
      <w:tblPr>
        <w:tblW w:w="8947" w:type="dxa"/>
        <w:jc w:val="center"/>
        <w:tblBorders>
          <w:top w:val="thinThickSmallGap" w:color="000000" w:sz="12" w:space="0"/>
          <w:left w:val="thinThickSmallGap" w:color="000000" w:sz="12" w:space="0"/>
          <w:bottom w:val="thickThinSmallGap" w:color="000000" w:sz="12" w:space="0"/>
          <w:right w:val="thickThinSmallGap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3"/>
        <w:gridCol w:w="1192"/>
        <w:gridCol w:w="7"/>
        <w:gridCol w:w="1218"/>
        <w:gridCol w:w="20"/>
        <w:gridCol w:w="1324"/>
        <w:gridCol w:w="11"/>
        <w:gridCol w:w="1154"/>
        <w:gridCol w:w="16"/>
        <w:gridCol w:w="1269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ckThinSmallGap" w:color="000000" w:sz="12" w:space="0"/>
            <w:right w:val="thickThinSmallGap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6" w:type="dxa"/>
            <w:gridSpan w:val="2"/>
            <w:tcBorders>
              <w:top w:val="thinThickSmallGap" w:color="000000" w:sz="12" w:space="0"/>
              <w:bottom w:val="thinThickSmallGap" w:color="000000" w:sz="12" w:space="0"/>
              <w:right w:val="doub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业务类别</w:t>
            </w:r>
          </w:p>
        </w:tc>
        <w:tc>
          <w:tcPr>
            <w:tcW w:w="1199" w:type="dxa"/>
            <w:gridSpan w:val="2"/>
            <w:tcBorders>
              <w:top w:val="thinThickSmallGap" w:color="000000" w:sz="12" w:space="0"/>
              <w:left w:val="double" w:color="000000" w:sz="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投诉</w:t>
            </w:r>
          </w:p>
        </w:tc>
        <w:tc>
          <w:tcPr>
            <w:tcW w:w="1238" w:type="dxa"/>
            <w:gridSpan w:val="2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举报</w:t>
            </w:r>
          </w:p>
        </w:tc>
        <w:tc>
          <w:tcPr>
            <w:tcW w:w="1335" w:type="dxa"/>
            <w:gridSpan w:val="2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咨询</w:t>
            </w:r>
          </w:p>
        </w:tc>
        <w:tc>
          <w:tcPr>
            <w:tcW w:w="1170" w:type="dxa"/>
            <w:gridSpan w:val="2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69" w:type="dxa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规划和政策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审批事项取消和下放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项目建设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电力交易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电力安全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8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市场准入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8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供电服务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10</w:t>
            </w: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5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成本价格和收费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23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其他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42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合计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18</w:t>
            </w: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7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194</w:t>
            </w:r>
          </w:p>
        </w:tc>
      </w:tr>
    </w:tbl>
    <w:p>
      <w:pPr>
        <w:spacing w:line="560" w:lineRule="exact"/>
        <w:rPr>
          <w:rFonts w:ascii="楷体_GB2312" w:eastAsia="楷体_GB2312"/>
          <w:color w:val="000000"/>
          <w:sz w:val="32"/>
        </w:rPr>
      </w:pPr>
      <w:bookmarkStart w:id="0" w:name="table1"/>
      <w:bookmarkEnd w:id="0"/>
    </w:p>
    <w:p>
      <w:pPr>
        <w:tabs>
          <w:tab w:val="left" w:pos="3668"/>
        </w:tabs>
        <w:spacing w:line="560" w:lineRule="exact"/>
        <w:ind w:firstLine="640" w:firstLineChars="200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>（三）区域分布情况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各地市按照</w:t>
      </w:r>
      <w:r>
        <w:rPr>
          <w:rFonts w:hint="eastAsia" w:ascii="仿宋_GB2312" w:eastAsia="仿宋_GB2312"/>
          <w:color w:val="000000"/>
          <w:sz w:val="32"/>
        </w:rPr>
        <w:t>收到的有效信息数量排序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color w:val="000000"/>
          <w:sz w:val="32"/>
        </w:rPr>
        <w:t>吕梁市、太原市、临汾市、运城市、长治市等</w:t>
      </w:r>
      <w:r>
        <w:rPr>
          <w:rFonts w:hint="eastAsia" w:ascii="仿宋_GB2312" w:eastAsia="仿宋_GB2312"/>
          <w:sz w:val="32"/>
        </w:rPr>
        <w:t>列辖区内前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位；</w:t>
      </w:r>
      <w:r>
        <w:rPr>
          <w:rFonts w:hint="eastAsia" w:ascii="仿宋_GB2312" w:eastAsia="仿宋_GB2312"/>
          <w:color w:val="000000"/>
          <w:sz w:val="32"/>
        </w:rPr>
        <w:t>投诉举报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分别在</w:t>
      </w:r>
      <w:r>
        <w:rPr>
          <w:rFonts w:hint="eastAsia" w:ascii="仿宋_GB2312" w:eastAsia="仿宋_GB2312"/>
          <w:color w:val="000000"/>
          <w:sz w:val="32"/>
        </w:rPr>
        <w:t>吕梁市、晋城市、临汾市等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三个地市</w:t>
      </w:r>
      <w:r>
        <w:rPr>
          <w:rFonts w:hint="eastAsia" w:ascii="仿宋_GB2312" w:eastAsia="仿宋_GB2312"/>
          <w:sz w:val="32"/>
        </w:rPr>
        <w:t>。（2019年7月有效信息及投诉举报排名前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位情况见表三）</w:t>
      </w:r>
    </w:p>
    <w:p>
      <w:pPr>
        <w:widowControl/>
        <w:snapToGrid w:val="0"/>
        <w:spacing w:beforeLines="50"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 xml:space="preserve">表三 </w:t>
      </w:r>
      <w:r>
        <w:rPr>
          <w:rFonts w:hint="eastAsia" w:ascii="仿宋_GB2312" w:eastAsia="仿宋_GB2312"/>
          <w:color w:val="000000"/>
          <w:sz w:val="32"/>
        </w:rPr>
        <w:t>2019年7月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有效信息及投诉举报排名前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位情况</w:t>
      </w:r>
    </w:p>
    <w:p>
      <w:pPr>
        <w:widowControl/>
        <w:snapToGrid w:val="0"/>
        <w:spacing w:line="360" w:lineRule="exact"/>
        <w:jc w:val="right"/>
        <w:rPr>
          <w:rFonts w:ascii="宋体" w:hAnsi="宋体" w:cs="宋体"/>
          <w:color w:val="000000"/>
          <w:kern w:val="0"/>
          <w:sz w:val="24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</w:rPr>
        <w:t>单位：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件</w:t>
      </w: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400"/>
        <w:gridCol w:w="1800"/>
        <w:gridCol w:w="236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32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有效信息</w:t>
            </w:r>
          </w:p>
        </w:tc>
        <w:tc>
          <w:tcPr>
            <w:tcW w:w="2367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32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投诉举报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吕梁市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68</w:t>
            </w:r>
          </w:p>
        </w:tc>
        <w:tc>
          <w:tcPr>
            <w:tcW w:w="23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吕梁市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其中：地方电力区域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3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其中：地方电力区域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太原市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51</w:t>
            </w:r>
          </w:p>
        </w:tc>
        <w:tc>
          <w:tcPr>
            <w:tcW w:w="23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晋城市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临汾市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23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临汾市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其中：地方电力区域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其中：地方电力区域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运城市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3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长治市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3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二、反映的主要问题及原因分析</w:t>
      </w:r>
    </w:p>
    <w:p>
      <w:pPr>
        <w:spacing w:line="600" w:lineRule="exact"/>
        <w:ind w:firstLine="640" w:firstLineChars="20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（一）主要问题</w:t>
      </w:r>
    </w:p>
    <w:p>
      <w:pPr>
        <w:widowControl/>
        <w:shd w:val="clear" w:color="auto" w:fill="FFFFFF"/>
        <w:wordWrap/>
        <w:adjustRightInd/>
        <w:snapToGrid/>
        <w:spacing w:before="225"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投诉举报反映的问题主要集中在电力行业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供电服务方面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反映的问题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: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一是部分地区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设备老化严重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频繁发生停电故障，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影响群众正常生产生活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如：临汾市安泽县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荀乡东大道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频繁停电1年多；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二是部分地区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两率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水平低，严重影响群众正常生活。如：晋城市阳城县凤城镇阳高泉村持续两月电压低，无法正常抽水灌溉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；三是部分供电企业工作人员服务不到位，影响群众正常用电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如：吕梁市离石区信义镇背石村用户欠费交费后超过24小时仍未送电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楷体_GB2312" w:eastAsia="楷体_GB2312" w:cs="楷体_GB2312"/>
          <w:color w:val="000000"/>
          <w:sz w:val="32"/>
          <w:szCs w:val="32"/>
        </w:rPr>
        <w:t>（二）原因分析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经分析，造成以上问题的主要原因：一是部分供电企业资金投入不足，配网设施建设改造滞后；二是部分供电企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服务意识薄弱、服务质量不高。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三、处理结果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sz w:val="32"/>
        </w:rPr>
        <w:t>2019年7月</w:t>
      </w:r>
      <w:r>
        <w:rPr>
          <w:rFonts w:hint="eastAsia" w:ascii="仿宋_GB2312" w:eastAsia="仿宋_GB2312"/>
          <w:color w:val="000000"/>
          <w:sz w:val="32"/>
        </w:rPr>
        <w:t>共收到投诉举报信息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</w:rPr>
        <w:t>件，根据国家有关法律法规规定，山西能源监管办对属于监管职责范围的4（受理数）件进行了受理，占投诉举报量的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10</w:t>
      </w:r>
      <w:bookmarkStart w:id="1" w:name="_GoBack"/>
      <w:bookmarkEnd w:id="1"/>
      <w:r>
        <w:rPr>
          <w:rFonts w:hint="eastAsia" w:ascii="仿宋_GB2312" w:eastAsia="仿宋_GB2312"/>
          <w:color w:val="000000"/>
          <w:sz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</w:rPr>
        <w:t>%。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针对群众反映的投诉举报事项，</w:t>
      </w:r>
      <w:r>
        <w:rPr>
          <w:rFonts w:ascii="仿宋_GB2312" w:eastAsia="仿宋_GB2312" w:cs="仿宋_GB2312"/>
          <w:color w:val="000000"/>
          <w:sz w:val="32"/>
          <w:szCs w:val="32"/>
        </w:rPr>
        <w:t>山西能源监管办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严格依据国家有关法律法规及文件规定进行了处理：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一是通过解释说明，澄清事实，使当事人消除了误解；二是通过协调督促，加快电能质量问题的解决，保障了群众正常生产生活。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lang w:eastAsia="zh-CN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2041" w:right="1531" w:bottom="1928" w:left="1644" w:header="851" w:footer="992" w:gutter="0"/>
          <w:pgNumType w:start="1"/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32"/>
        </w:rPr>
        <w:t>2019年7月</w:t>
      </w:r>
      <w:r>
        <w:rPr>
          <w:rFonts w:hint="eastAsia" w:ascii="仿宋_GB2312" w:eastAsia="仿宋_GB2312"/>
          <w:color w:val="000000"/>
          <w:sz w:val="32"/>
        </w:rPr>
        <w:t>已办结投诉举报4件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，占投诉举报受理量的</w:t>
      </w:r>
      <w:r>
        <w:rPr>
          <w:rFonts w:ascii="仿宋_GB2312" w:eastAsia="仿宋_GB2312" w:cs="仿宋_GB2312"/>
          <w:color w:val="000000"/>
          <w:sz w:val="32"/>
          <w:szCs w:val="32"/>
        </w:rPr>
        <w:t>100.00%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；完成回访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件，回访率为</w:t>
      </w:r>
      <w:r>
        <w:rPr>
          <w:rFonts w:ascii="仿宋_GB2312" w:eastAsia="仿宋_GB2312" w:cs="仿宋_GB2312"/>
          <w:color w:val="000000"/>
          <w:sz w:val="32"/>
          <w:szCs w:val="32"/>
        </w:rPr>
        <w:t>50.00%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，满意率达到</w:t>
      </w:r>
      <w:r>
        <w:rPr>
          <w:rFonts w:ascii="仿宋_GB2312" w:eastAsia="仿宋_GB2312" w:cs="仿宋_GB2312"/>
          <w:color w:val="000000"/>
          <w:sz w:val="32"/>
          <w:szCs w:val="32"/>
        </w:rPr>
        <w:t>100.00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％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</w:p>
    <w:sectPr>
      <w:headerReference r:id="rId7" w:type="default"/>
      <w:footerReference r:id="rId8" w:type="default"/>
      <w:footerReference r:id="rId9" w:type="even"/>
      <w:pgSz w:w="16839" w:h="23814"/>
      <w:pgMar w:top="1928" w:right="1134" w:bottom="2041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3"/>
      <w:jc w:val="right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t>6</w:t>
    </w:r>
    <w:r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6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3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t>6</w:t>
    </w:r>
    <w:r>
      <w:rPr>
        <w:rFonts w:ascii="Times New Roman" w:hAnsi="Times New Roman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paragraph" w:styleId="2">
    <w:name w:val="caption"/>
    <w:basedOn w:val="1"/>
    <w:next w:val="1"/>
    <w:qFormat/>
    <w:uiPriority w:val="35"/>
    <w:rPr>
      <w:rFonts w:ascii="Cambria" w:hAnsi="Cambria" w:eastAsia="黑体" w:cs="黑体"/>
      <w:sz w:val="20"/>
      <w:szCs w:val="20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  <w:rPr/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cs="黑体"/>
    </w:rPr>
  </w:style>
  <w:style w:type="character" w:customStyle="1" w:styleId="9">
    <w:name w:val="font61"/>
    <w:qFormat/>
    <w:uiPriority w:val="0"/>
    <w:rPr>
      <w:rFonts w:hint="eastAsia" w:ascii="仿宋_GB2312" w:eastAsia="仿宋_GB2312" w:cs="仿宋_GB2312"/>
      <w:color w:val="000000"/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font101"/>
    <w:uiPriority w:val="0"/>
    <w:rPr>
      <w:rFonts w:hint="eastAsia" w:ascii="仿宋_GB2312" w:eastAsia="仿宋_GB2312" w:cs="仿宋_GB2312"/>
      <w:color w:val="FF0000"/>
      <w:sz w:val="18"/>
      <w:szCs w:val="18"/>
    </w:rPr>
  </w:style>
  <w:style w:type="character" w:customStyle="1" w:styleId="12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376</Words>
  <Characters>2147</Characters>
  <Lines>17</Lines>
  <Paragraphs>5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2016-12-12T01:02:00Z</dcterms:created>
  <dc:creator>汪洋(市场监管部)</dc:creator>
  <cp:lastModifiedBy>赵晓敏</cp:lastModifiedBy>
  <cp:lastPrinted>2016-12-12T06:17:00Z</cp:lastPrinted>
  <dcterms:modified xsi:type="dcterms:W3CDTF">2019-08-23T01:44:17Z</dcterms:modified>
  <dc:title>2016年10月12398能源监管热线投诉举报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