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2019年8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spacing w:line="560" w:lineRule="exact"/>
        <w:ind w:firstLine="640" w:firstLineChars="200"/>
        <w:rPr>
          <w:rFonts w:hint="eastAsia" w:ascii="黑体" w:eastAsia="黑体"/>
          <w:color w:val="000000"/>
          <w:sz w:val="32"/>
        </w:rPr>
      </w:pPr>
      <w:r>
        <w:rPr>
          <w:rFonts w:hint="eastAsia" w:ascii="黑体" w:eastAsia="黑体"/>
          <w:color w:val="000000"/>
          <w:sz w:val="32"/>
          <w:lang w:val="en-US" w:eastAsia="zh-CN"/>
        </w:rPr>
        <w:t>一、</w:t>
      </w:r>
      <w:r>
        <w:rPr>
          <w:rFonts w:hint="eastAsia" w:ascii="黑体" w:eastAsia="黑体"/>
          <w:color w:val="000000"/>
          <w:sz w:val="32"/>
        </w:rPr>
        <w:t>基本情况</w:t>
      </w:r>
    </w:p>
    <w:p>
      <w:pPr>
        <w:spacing w:line="560" w:lineRule="exact"/>
        <w:ind w:firstLine="480" w:firstLineChars="150"/>
        <w:rPr>
          <w:rFonts w:hint="eastAsia" w:ascii="楷体" w:hAnsi="楷体" w:eastAsia="楷体"/>
          <w:color w:val="000000"/>
          <w:sz w:val="32"/>
        </w:rPr>
      </w:pPr>
      <w:r>
        <w:rPr>
          <w:rFonts w:hint="eastAsia" w:ascii="楷体" w:hAnsi="楷体" w:eastAsia="楷体"/>
          <w:color w:val="000000"/>
          <w:sz w:val="32"/>
        </w:rPr>
        <w:t>（一）收到有效信息情况</w:t>
      </w:r>
    </w:p>
    <w:p>
      <w:pPr>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292</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增加0.69%</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减</w:t>
      </w:r>
      <w:r>
        <w:rPr>
          <w:rFonts w:hint="eastAsia" w:ascii="仿宋_GB2312" w:eastAsia="仿宋_GB2312" w:cs="仿宋_GB2312"/>
          <w:color w:val="000000"/>
          <w:sz w:val="32"/>
          <w:szCs w:val="32"/>
          <w:lang w:val="en-US" w:eastAsia="zh-CN"/>
        </w:rPr>
        <w:t>少</w:t>
      </w:r>
      <w:r>
        <w:rPr>
          <w:rFonts w:ascii="仿宋_GB2312" w:eastAsia="仿宋_GB2312" w:cs="仿宋_GB2312"/>
          <w:color w:val="000000"/>
          <w:sz w:val="32"/>
          <w:szCs w:val="32"/>
        </w:rPr>
        <w:t>3.95%</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件，占有效信息的</w:t>
      </w:r>
      <w:r>
        <w:rPr>
          <w:rFonts w:hint="eastAsia" w:ascii="仿宋_GB2312" w:eastAsia="仿宋_GB2312" w:cs="仿宋_GB2312"/>
          <w:color w:val="000000"/>
          <w:sz w:val="32"/>
          <w:szCs w:val="32"/>
          <w:lang w:val="en-US" w:eastAsia="zh-CN"/>
        </w:rPr>
        <w:t>5.14</w:t>
      </w:r>
      <w:r>
        <w:rPr>
          <w:rFonts w:ascii="仿宋_GB2312" w:eastAsia="仿宋_GB2312" w:cs="仿宋_GB2312"/>
          <w:color w:val="000000"/>
          <w:sz w:val="32"/>
          <w:szCs w:val="32"/>
        </w:rPr>
        <w:t>%</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270</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92.47%</w:t>
      </w:r>
      <w:r>
        <w:rPr>
          <w:rFonts w:hint="eastAsia" w:ascii="仿宋_GB2312" w:eastAsia="仿宋_GB2312" w:cs="仿宋_GB2312"/>
          <w:color w:val="000000"/>
          <w:sz w:val="32"/>
          <w:szCs w:val="32"/>
        </w:rPr>
        <w:t>；表扬、求助、建议等其他方面</w:t>
      </w: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2.</w:t>
      </w:r>
      <w:r>
        <w:rPr>
          <w:rFonts w:hint="eastAsia" w:ascii="仿宋_GB2312" w:eastAsia="仿宋_GB2312" w:cs="仿宋_GB2312"/>
          <w:color w:val="000000"/>
          <w:sz w:val="32"/>
          <w:szCs w:val="32"/>
          <w:lang w:val="en-US" w:eastAsia="zh-CN"/>
        </w:rPr>
        <w:t>39</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287</w:t>
      </w:r>
      <w:r>
        <w:rPr>
          <w:rFonts w:hint="eastAsia" w:ascii="仿宋_GB2312" w:eastAsia="仿宋_GB2312" w:cs="仿宋_GB2312"/>
          <w:color w:val="000000"/>
          <w:sz w:val="32"/>
          <w:szCs w:val="32"/>
        </w:rPr>
        <w:t>件，电子邮件</w:t>
      </w:r>
      <w:r>
        <w:rPr>
          <w:rFonts w:ascii="仿宋_GB2312" w:eastAsia="仿宋_GB2312" w:cs="仿宋_GB2312"/>
          <w:color w:val="000000"/>
          <w:sz w:val="32"/>
          <w:szCs w:val="32"/>
        </w:rPr>
        <w:t>3</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val="en-US" w:eastAsia="zh-CN"/>
        </w:rPr>
        <w:t>留言2件</w:t>
      </w:r>
      <w:r>
        <w:rPr>
          <w:rFonts w:hint="eastAsia" w:ascii="仿宋_GB2312" w:eastAsia="仿宋_GB2312" w:cs="仿宋_GB2312"/>
          <w:color w:val="000000"/>
          <w:sz w:val="32"/>
          <w:szCs w:val="32"/>
        </w:rPr>
        <w:t>。（</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2019年8月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8628" w:type="dxa"/>
        <w:jc w:val="center"/>
        <w:tblInd w:w="0" w:type="dxa"/>
        <w:tblLayout w:type="fixed"/>
        <w:tblCellMar>
          <w:top w:w="0" w:type="dxa"/>
          <w:left w:w="108" w:type="dxa"/>
          <w:bottom w:w="0" w:type="dxa"/>
          <w:right w:w="108" w:type="dxa"/>
        </w:tblCellMar>
      </w:tblPr>
      <w:tblGrid>
        <w:gridCol w:w="2433"/>
        <w:gridCol w:w="1239"/>
        <w:gridCol w:w="1239"/>
        <w:gridCol w:w="1239"/>
        <w:gridCol w:w="1239"/>
        <w:gridCol w:w="1239"/>
      </w:tblGrid>
      <w:tr>
        <w:tblPrEx>
          <w:tblLayout w:type="fixed"/>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ascii="仿宋_GB2312" w:hAnsi="宋体" w:eastAsia="仿宋_GB2312" w:cs="宋体"/>
                <w:kern w:val="0"/>
                <w:sz w:val="24"/>
              </w:rPr>
              <w:t>1</w:t>
            </w:r>
            <w:r>
              <w:rPr>
                <w:rFonts w:hint="eastAsia" w:ascii="仿宋_GB2312" w:hAnsi="宋体" w:eastAsia="仿宋_GB2312" w:cs="宋体"/>
                <w:kern w:val="0"/>
                <w:sz w:val="24"/>
                <w:lang w:val="en-US" w:eastAsia="zh-CN"/>
              </w:rPr>
              <w:t>3</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268</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28</w:t>
            </w: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留言</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2</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5</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270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292</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ascii="楷体_GB2312" w:eastAsia="楷体_GB2312"/>
          <w:color w:val="000000"/>
          <w:sz w:val="32"/>
        </w:rPr>
      </w:pPr>
      <w:r>
        <w:rPr>
          <w:rFonts w:hint="eastAsia" w:ascii="楷体_GB2312" w:eastAsia="楷体_GB2312"/>
          <w:color w:val="000000"/>
          <w:sz w:val="32"/>
        </w:rPr>
        <w:t>（二）分类情况</w:t>
      </w:r>
    </w:p>
    <w:p>
      <w:pPr>
        <w:spacing w:line="640" w:lineRule="exact"/>
        <w:ind w:firstLine="640" w:firstLineChars="200"/>
        <w:rPr>
          <w:rFonts w:ascii="仿宋_GB2312" w:eastAsia="仿宋_GB2312" w:cs="仿宋_GB2312"/>
          <w:color w:val="000000"/>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月收到的有效信息中，电力行业类</w:t>
      </w:r>
      <w:r>
        <w:rPr>
          <w:rFonts w:ascii="仿宋_GB2312" w:eastAsia="仿宋_GB2312" w:cs="仿宋_GB2312"/>
          <w:sz w:val="32"/>
          <w:szCs w:val="32"/>
        </w:rPr>
        <w:t>184</w:t>
      </w:r>
      <w:r>
        <w:rPr>
          <w:rFonts w:hint="eastAsia" w:ascii="仿宋_GB2312" w:eastAsia="仿宋_GB2312" w:cs="仿宋_GB2312"/>
          <w:sz w:val="32"/>
          <w:szCs w:val="32"/>
        </w:rPr>
        <w:t>件，占</w:t>
      </w:r>
      <w:r>
        <w:rPr>
          <w:rFonts w:ascii="仿宋_GB2312" w:eastAsia="仿宋_GB2312" w:cs="仿宋_GB2312"/>
          <w:sz w:val="32"/>
          <w:szCs w:val="32"/>
        </w:rPr>
        <w:t>63.01%</w:t>
      </w:r>
      <w:r>
        <w:rPr>
          <w:rFonts w:hint="eastAsia" w:ascii="仿宋_GB2312" w:eastAsia="仿宋_GB2312" w:cs="仿宋_GB2312"/>
          <w:sz w:val="32"/>
          <w:szCs w:val="32"/>
        </w:rPr>
        <w:t>；新能源和可再生能源行业类</w:t>
      </w:r>
      <w:r>
        <w:rPr>
          <w:rFonts w:ascii="仿宋_GB2312" w:eastAsia="仿宋_GB2312" w:cs="仿宋_GB2312"/>
          <w:sz w:val="32"/>
          <w:szCs w:val="32"/>
        </w:rPr>
        <w:t>55</w:t>
      </w:r>
      <w:r>
        <w:rPr>
          <w:rFonts w:hint="eastAsia" w:ascii="仿宋_GB2312" w:eastAsia="仿宋_GB2312" w:cs="仿宋_GB2312"/>
          <w:sz w:val="32"/>
          <w:szCs w:val="32"/>
        </w:rPr>
        <w:t>件，占</w:t>
      </w:r>
      <w:r>
        <w:rPr>
          <w:rFonts w:ascii="仿宋_GB2312" w:eastAsia="仿宋_GB2312" w:cs="仿宋_GB2312"/>
          <w:sz w:val="32"/>
          <w:szCs w:val="32"/>
        </w:rPr>
        <w:t>18.84%</w:t>
      </w:r>
      <w:r>
        <w:rPr>
          <w:rFonts w:hint="eastAsia" w:ascii="仿宋_GB2312" w:eastAsia="仿宋_GB2312" w:cs="仿宋_GB2312"/>
          <w:sz w:val="32"/>
          <w:szCs w:val="32"/>
        </w:rPr>
        <w:t>；石油天然气行业类</w:t>
      </w:r>
      <w:r>
        <w:rPr>
          <w:rFonts w:ascii="仿宋_GB2312" w:eastAsia="仿宋_GB2312" w:cs="仿宋_GB2312"/>
          <w:sz w:val="32"/>
          <w:szCs w:val="32"/>
        </w:rPr>
        <w:t>28</w:t>
      </w:r>
      <w:r>
        <w:rPr>
          <w:rFonts w:hint="eastAsia" w:ascii="仿宋_GB2312" w:eastAsia="仿宋_GB2312" w:cs="仿宋_GB2312"/>
          <w:sz w:val="32"/>
          <w:szCs w:val="32"/>
        </w:rPr>
        <w:t>件，占</w:t>
      </w:r>
      <w:r>
        <w:rPr>
          <w:rFonts w:ascii="仿宋_GB2312" w:eastAsia="仿宋_GB2312" w:cs="仿宋_GB2312"/>
          <w:sz w:val="32"/>
          <w:szCs w:val="32"/>
        </w:rPr>
        <w:t>9.59%</w:t>
      </w:r>
      <w:r>
        <w:rPr>
          <w:rFonts w:hint="eastAsia" w:ascii="仿宋_GB2312" w:eastAsia="仿宋_GB2312" w:cs="仿宋_GB2312"/>
          <w:sz w:val="32"/>
          <w:szCs w:val="32"/>
        </w:rPr>
        <w:t>；煤炭行业类</w:t>
      </w:r>
      <w:r>
        <w:rPr>
          <w:rFonts w:ascii="仿宋_GB2312" w:eastAsia="仿宋_GB2312" w:cs="仿宋_GB2312"/>
          <w:sz w:val="32"/>
          <w:szCs w:val="32"/>
        </w:rPr>
        <w:t>4</w:t>
      </w:r>
      <w:r>
        <w:rPr>
          <w:rFonts w:hint="eastAsia" w:ascii="仿宋_GB2312" w:eastAsia="仿宋_GB2312" w:cs="仿宋_GB2312"/>
          <w:sz w:val="32"/>
          <w:szCs w:val="32"/>
        </w:rPr>
        <w:t>件，占</w:t>
      </w:r>
      <w:r>
        <w:rPr>
          <w:rFonts w:ascii="仿宋_GB2312" w:eastAsia="仿宋_GB2312" w:cs="仿宋_GB2312"/>
          <w:sz w:val="32"/>
          <w:szCs w:val="32"/>
        </w:rPr>
        <w:t>1.37%</w:t>
      </w:r>
      <w:r>
        <w:rPr>
          <w:rFonts w:hint="eastAsia" w:ascii="仿宋_GB2312" w:eastAsia="仿宋_GB2312" w:cs="仿宋_GB2312"/>
          <w:sz w:val="32"/>
          <w:szCs w:val="32"/>
        </w:rPr>
        <w:t>；其他事项</w:t>
      </w:r>
      <w:r>
        <w:rPr>
          <w:rFonts w:ascii="仿宋_GB2312" w:eastAsia="仿宋_GB2312" w:cs="仿宋_GB2312"/>
          <w:sz w:val="32"/>
          <w:szCs w:val="32"/>
        </w:rPr>
        <w:t>18</w:t>
      </w:r>
      <w:r>
        <w:rPr>
          <w:rFonts w:hint="eastAsia" w:ascii="仿宋_GB2312" w:eastAsia="仿宋_GB2312" w:cs="仿宋_GB2312"/>
          <w:sz w:val="32"/>
          <w:szCs w:val="32"/>
        </w:rPr>
        <w:t>件，占</w:t>
      </w:r>
      <w:r>
        <w:rPr>
          <w:rFonts w:ascii="仿宋_GB2312" w:eastAsia="仿宋_GB2312" w:cs="仿宋_GB2312"/>
          <w:sz w:val="32"/>
          <w:szCs w:val="32"/>
        </w:rPr>
        <w:t>6.16%</w:t>
      </w:r>
      <w:r>
        <w:rPr>
          <w:rFonts w:hint="eastAsia" w:ascii="仿宋_GB2312" w:eastAsia="仿宋_GB2312" w:cs="仿宋_GB2312"/>
          <w:sz w:val="32"/>
          <w:szCs w:val="32"/>
        </w:rPr>
        <w:t>。</w:t>
      </w:r>
    </w:p>
    <w:p>
      <w:pPr>
        <w:spacing w:line="6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投诉举报主要集中在电力行业，共13件。从业务分类情况看，电力安全方面3件，占23.08%;供电服务方面8件，占61.54%;成本价格和收费方面2件，占15.38%</w:t>
      </w:r>
      <w:r>
        <w:rPr>
          <w:rFonts w:hint="eastAsia" w:ascii="仿宋_GB2312" w:eastAsia="仿宋_GB2312" w:cs="仿宋_GB2312"/>
          <w:color w:val="000000"/>
          <w:sz w:val="32"/>
          <w:szCs w:val="32"/>
        </w:rPr>
        <w:t>。（</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电力行业</w:t>
      </w:r>
      <w:r>
        <w:rPr>
          <w:rFonts w:hint="eastAsia" w:ascii="仿宋_GB2312" w:eastAsia="仿宋_GB2312" w:cs="仿宋_GB2312"/>
          <w:color w:val="000000"/>
          <w:sz w:val="32"/>
          <w:szCs w:val="32"/>
        </w:rPr>
        <w:t>有效信息按业务分类情况见表二）。</w:t>
      </w: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b/>
          <w:bCs/>
          <w:color w:val="000000"/>
          <w:sz w:val="32"/>
        </w:rPr>
        <w:t>2019</w:t>
      </w:r>
      <w:r>
        <w:rPr>
          <w:rFonts w:hint="eastAsia" w:ascii="仿宋_GB2312" w:eastAsia="仿宋_GB2312"/>
          <w:b/>
          <w:bCs/>
          <w:color w:val="000000"/>
          <w:sz w:val="32"/>
        </w:rPr>
        <w:t>年</w:t>
      </w:r>
      <w:r>
        <w:rPr>
          <w:rFonts w:ascii="仿宋_GB2312" w:eastAsia="仿宋_GB2312"/>
          <w:b/>
          <w:bCs/>
          <w:color w:val="000000"/>
          <w:sz w:val="32"/>
        </w:rPr>
        <w:t>8</w:t>
      </w:r>
      <w:r>
        <w:rPr>
          <w:rFonts w:hint="eastAsia" w:ascii="仿宋_GB2312" w:eastAsia="仿宋_GB2312"/>
          <w:b/>
          <w:bCs/>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8947" w:type="dxa"/>
        <w:jc w:val="center"/>
        <w:tblInd w:w="0" w:type="dxa"/>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3"/>
        <w:gridCol w:w="1192"/>
        <w:gridCol w:w="7"/>
        <w:gridCol w:w="1218"/>
        <w:gridCol w:w="20"/>
        <w:gridCol w:w="1324"/>
        <w:gridCol w:w="11"/>
        <w:gridCol w:w="1154"/>
        <w:gridCol w:w="16"/>
        <w:gridCol w:w="1269"/>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36" w:type="dxa"/>
            <w:gridSpan w:val="2"/>
            <w:tcBorders>
              <w:top w:val="thinThickSmallGap" w:color="000000" w:sz="12" w:space="0"/>
              <w:bottom w:val="thinThickSmallGap" w:color="000000" w:sz="12" w:space="0"/>
              <w:right w:val="double" w:color="000000" w:sz="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op w:val="thinThickSmallGap" w:color="000000" w:sz="12" w:space="0"/>
              <w:left w:val="double" w:color="000000" w:sz="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101</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4</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14</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34</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164</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184</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ascii="楷体_GB2312" w:eastAsia="楷体_GB2312"/>
          <w:color w:val="000000"/>
          <w:sz w:val="32"/>
        </w:rPr>
      </w:pPr>
      <w:r>
        <w:rPr>
          <w:rFonts w:hint="eastAsia" w:ascii="楷体_GB2312" w:eastAsia="楷体_GB2312"/>
          <w:color w:val="000000"/>
          <w:sz w:val="32"/>
        </w:rPr>
        <w:t>（三）区域分布情况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吕梁市、太原市、运城市、临汾市、长治市等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按照投诉举报数量排序，吕梁市、晋中市、太原市、长治市、大同市等</w:t>
      </w:r>
      <w:r>
        <w:rPr>
          <w:rFonts w:hint="eastAsia" w:ascii="仿宋_GB2312" w:eastAsia="仿宋_GB2312"/>
          <w:sz w:val="32"/>
        </w:rPr>
        <w:t>排在辖区内前</w:t>
      </w:r>
      <w:r>
        <w:rPr>
          <w:rFonts w:hint="eastAsia" w:ascii="仿宋_GB2312" w:eastAsia="仿宋_GB2312"/>
          <w:sz w:val="32"/>
          <w:lang w:val="en-US" w:eastAsia="zh-CN"/>
        </w:rPr>
        <w:t>5</w:t>
      </w:r>
      <w:r>
        <w:rPr>
          <w:rFonts w:hint="eastAsia" w:ascii="仿宋_GB2312" w:eastAsia="仿宋_GB2312"/>
          <w:sz w:val="32"/>
        </w:rPr>
        <w:t>位。（2019年8月有效信息及投诉举报排名前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b/>
          <w:bCs/>
          <w:color w:val="000000"/>
          <w:sz w:val="32"/>
        </w:rPr>
        <w:t>2019年8月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right"/>
        <w:rPr>
          <w:rFonts w:ascii="宋体" w:hAnsi="宋体" w:cs="宋体"/>
          <w:color w:val="000000"/>
          <w:kern w:val="0"/>
          <w:sz w:val="24"/>
          <w:szCs w:val="28"/>
        </w:rPr>
      </w:pP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00"/>
        <w:gridCol w:w="1600"/>
        <w:gridCol w:w="2317"/>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984"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2300"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600"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有效信息</w:t>
            </w:r>
          </w:p>
        </w:tc>
        <w:tc>
          <w:tcPr>
            <w:tcW w:w="2317"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716"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8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3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6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60</w:t>
            </w:r>
          </w:p>
        </w:tc>
        <w:tc>
          <w:tcPr>
            <w:tcW w:w="231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716" w:type="dxa"/>
            <w:vAlign w:val="center"/>
          </w:tcPr>
          <w:p>
            <w:pPr>
              <w:spacing w:line="560" w:lineRule="exact"/>
              <w:jc w:val="center"/>
              <w:rPr>
                <w:rFonts w:hint="eastAsia" w:ascii="黑体" w:eastAsia="黑体"/>
                <w:color w:val="000000"/>
                <w:sz w:val="32"/>
                <w:lang w:val="en-US" w:eastAsia="zh-CN"/>
              </w:rPr>
            </w:pPr>
            <w:r>
              <w:rPr>
                <w:rFonts w:hint="eastAsia" w:ascii="仿宋" w:hAnsi="仿宋" w:eastAsia="仿宋" w:cs="仿宋"/>
                <w:b w:val="0"/>
                <w:bCs w:val="0"/>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84" w:type="dxa"/>
            <w:vMerge w:val="continue"/>
            <w:vAlign w:val="center"/>
          </w:tcPr>
          <w:p>
            <w:pPr>
              <w:spacing w:line="560" w:lineRule="exact"/>
              <w:jc w:val="center"/>
            </w:pPr>
          </w:p>
        </w:tc>
        <w:tc>
          <w:tcPr>
            <w:tcW w:w="230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60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51</w:t>
            </w:r>
          </w:p>
        </w:tc>
        <w:tc>
          <w:tcPr>
            <w:tcW w:w="2317"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71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3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6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48</w:t>
            </w:r>
          </w:p>
        </w:tc>
        <w:tc>
          <w:tcPr>
            <w:tcW w:w="231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晋中市</w:t>
            </w:r>
          </w:p>
        </w:tc>
        <w:tc>
          <w:tcPr>
            <w:tcW w:w="1716"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3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运城市</w:t>
            </w:r>
          </w:p>
        </w:tc>
        <w:tc>
          <w:tcPr>
            <w:tcW w:w="16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40</w:t>
            </w:r>
          </w:p>
        </w:tc>
        <w:tc>
          <w:tcPr>
            <w:tcW w:w="231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716"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8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3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6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39</w:t>
            </w:r>
          </w:p>
        </w:tc>
        <w:tc>
          <w:tcPr>
            <w:tcW w:w="2317" w:type="dxa"/>
            <w:vAlign w:val="center"/>
          </w:tcPr>
          <w:p>
            <w:pPr>
              <w:spacing w:line="560" w:lineRule="exact"/>
              <w:jc w:val="center"/>
              <w:rPr>
                <w:rFonts w:hint="eastAsia" w:ascii="黑体" w:eastAsia="黑体"/>
                <w:color w:val="000000"/>
                <w:sz w:val="32"/>
              </w:rPr>
            </w:pPr>
            <w:r>
              <w:rPr>
                <w:rFonts w:hint="eastAsia" w:ascii="仿宋_GB2312" w:hAnsi="宋体" w:eastAsia="仿宋_GB2312" w:cs="仿宋_GB2312"/>
                <w:sz w:val="24"/>
                <w:szCs w:val="24"/>
                <w:lang w:val="en-US" w:eastAsia="zh-CN"/>
              </w:rPr>
              <w:t>临汾</w:t>
            </w:r>
            <w:r>
              <w:rPr>
                <w:rFonts w:ascii="仿宋_GB2312" w:hAnsi="宋体" w:eastAsia="仿宋_GB2312" w:cs="仿宋_GB2312"/>
                <w:sz w:val="24"/>
                <w:szCs w:val="24"/>
              </w:rPr>
              <w:t>市</w:t>
            </w:r>
          </w:p>
        </w:tc>
        <w:tc>
          <w:tcPr>
            <w:tcW w:w="1716" w:type="dxa"/>
            <w:vAlign w:val="center"/>
          </w:tcPr>
          <w:p>
            <w:pPr>
              <w:spacing w:line="560" w:lineRule="exact"/>
              <w:jc w:val="center"/>
              <w:rPr>
                <w:rFonts w:hint="eastAsia" w:ascii="黑体" w:eastAsia="黑体"/>
                <w:color w:val="000000"/>
                <w:sz w:val="32"/>
                <w:lang w:val="en-US" w:eastAsia="zh-CN"/>
              </w:rPr>
            </w:pPr>
            <w:r>
              <w:rPr>
                <w:rFonts w:hint="eastAsia" w:ascii="仿宋" w:hAnsi="仿宋" w:eastAsia="仿宋" w:cs="仿宋"/>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84" w:type="dxa"/>
            <w:vMerge w:val="continue"/>
            <w:vAlign w:val="center"/>
          </w:tcPr>
          <w:p>
            <w:pPr>
              <w:spacing w:line="560" w:lineRule="exact"/>
              <w:jc w:val="center"/>
            </w:pPr>
          </w:p>
        </w:tc>
        <w:tc>
          <w:tcPr>
            <w:tcW w:w="230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60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12</w:t>
            </w:r>
          </w:p>
        </w:tc>
        <w:tc>
          <w:tcPr>
            <w:tcW w:w="2317"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71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8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30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长治市</w:t>
            </w:r>
          </w:p>
        </w:tc>
        <w:tc>
          <w:tcPr>
            <w:tcW w:w="160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23</w:t>
            </w:r>
          </w:p>
        </w:tc>
        <w:tc>
          <w:tcPr>
            <w:tcW w:w="2317" w:type="dxa"/>
            <w:vAlign w:val="center"/>
          </w:tcPr>
          <w:p>
            <w:pPr>
              <w:spacing w:line="560" w:lineRule="exact"/>
              <w:jc w:val="center"/>
              <w:rPr>
                <w:rFonts w:hint="eastAsia" w:ascii="黑体" w:eastAsia="黑体"/>
                <w:color w:val="000000"/>
                <w:sz w:val="32"/>
              </w:rPr>
            </w:pPr>
            <w:r>
              <w:rPr>
                <w:rFonts w:hint="eastAsia" w:ascii="仿宋_GB2312" w:hAnsi="宋体" w:eastAsia="仿宋_GB2312" w:cs="仿宋_GB2312"/>
                <w:sz w:val="24"/>
                <w:szCs w:val="24"/>
                <w:lang w:val="en-US" w:eastAsia="zh-CN"/>
              </w:rPr>
              <w:t>朔州</w:t>
            </w:r>
            <w:r>
              <w:rPr>
                <w:rFonts w:ascii="仿宋_GB2312" w:hAnsi="宋体" w:eastAsia="仿宋_GB2312" w:cs="仿宋_GB2312"/>
                <w:sz w:val="24"/>
                <w:szCs w:val="24"/>
              </w:rPr>
              <w:t>市</w:t>
            </w:r>
          </w:p>
        </w:tc>
        <w:tc>
          <w:tcPr>
            <w:tcW w:w="1716" w:type="dxa"/>
            <w:vAlign w:val="center"/>
          </w:tcPr>
          <w:p>
            <w:pPr>
              <w:spacing w:line="560" w:lineRule="exact"/>
              <w:jc w:val="center"/>
              <w:rPr>
                <w:rFonts w:hint="eastAsia" w:ascii="黑体" w:eastAsia="黑体"/>
                <w:color w:val="000000"/>
                <w:sz w:val="32"/>
                <w:lang w:eastAsia="zh-CN"/>
              </w:rPr>
            </w:pPr>
            <w:r>
              <w:rPr>
                <w:rFonts w:hint="eastAsia" w:ascii="仿宋_GB2312" w:hAnsi="宋体"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84" w:type="dxa"/>
            <w:vMerge w:val="continue"/>
            <w:vAlign w:val="center"/>
          </w:tcPr>
          <w:p>
            <w:pPr>
              <w:spacing w:line="560" w:lineRule="exact"/>
              <w:jc w:val="center"/>
            </w:pPr>
          </w:p>
        </w:tc>
        <w:tc>
          <w:tcPr>
            <w:tcW w:w="2300" w:type="dxa"/>
            <w:vMerge w:val="continue"/>
            <w:vAlign w:val="center"/>
          </w:tcPr>
          <w:p>
            <w:pPr>
              <w:spacing w:line="560" w:lineRule="exact"/>
              <w:jc w:val="center"/>
            </w:pPr>
          </w:p>
        </w:tc>
        <w:tc>
          <w:tcPr>
            <w:tcW w:w="1600" w:type="dxa"/>
            <w:vMerge w:val="continue"/>
            <w:vAlign w:val="center"/>
          </w:tcPr>
          <w:p>
            <w:pPr>
              <w:spacing w:line="560" w:lineRule="exact"/>
              <w:jc w:val="center"/>
            </w:pPr>
          </w:p>
        </w:tc>
        <w:tc>
          <w:tcPr>
            <w:tcW w:w="2317"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716"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bl>
    <w:p>
      <w:pPr>
        <w:spacing w:line="560" w:lineRule="exact"/>
        <w:ind w:firstLine="640" w:firstLineChars="200"/>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rPr>
        <w:t>二、反映的主要问题及原因分析</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exact"/>
        <w:jc w:val="left"/>
        <w:textAlignment w:val="auto"/>
        <w:rPr>
          <w:rFonts w:hint="default" w:ascii="仿宋" w:hAnsi="仿宋" w:eastAsia="仿宋" w:cs="仿宋"/>
          <w:color w:val="000000"/>
          <w:kern w:val="0"/>
          <w:sz w:val="32"/>
          <w:szCs w:val="32"/>
          <w:lang w:val="en-US" w:eastAsia="zh-CN"/>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电力行业在供电服务、成本价格及收费、电力安全等方面反映的问题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一是部分地区</w:t>
      </w:r>
      <w:r>
        <w:rPr>
          <w:rFonts w:hint="eastAsia" w:ascii="仿宋" w:hAnsi="仿宋" w:eastAsia="仿宋" w:cs="仿宋"/>
          <w:color w:val="000000"/>
          <w:kern w:val="0"/>
          <w:sz w:val="32"/>
          <w:szCs w:val="32"/>
          <w:shd w:val="clear" w:color="auto" w:fill="FFFFFF"/>
          <w:lang w:val="en-US" w:eastAsia="zh-CN"/>
        </w:rPr>
        <w:t>运维不当</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导致线路频繁停电</w:t>
      </w:r>
      <w:r>
        <w:rPr>
          <w:rFonts w:hint="eastAsia" w:ascii="仿宋" w:hAnsi="仿宋" w:eastAsia="仿宋" w:cs="仿宋"/>
          <w:color w:val="000000"/>
          <w:kern w:val="0"/>
          <w:sz w:val="32"/>
          <w:szCs w:val="32"/>
          <w:shd w:val="clear" w:color="auto" w:fill="FFFFFF"/>
          <w:lang w:eastAsia="zh-CN"/>
        </w:rPr>
        <w:t>。如：朔州市怀仁县</w:t>
      </w:r>
      <w:r>
        <w:rPr>
          <w:rFonts w:hint="eastAsia" w:ascii="仿宋" w:hAnsi="仿宋" w:eastAsia="仿宋" w:cs="仿宋"/>
          <w:color w:val="000000"/>
          <w:kern w:val="0"/>
          <w:sz w:val="32"/>
          <w:szCs w:val="32"/>
          <w:shd w:val="clear" w:color="auto" w:fill="FFFFFF"/>
          <w:lang w:val="en-US" w:eastAsia="zh-CN"/>
        </w:rPr>
        <w:t>清水河村两个月共停电17次</w:t>
      </w:r>
      <w:r>
        <w:rPr>
          <w:rFonts w:hint="eastAsia" w:ascii="仿宋" w:hAnsi="仿宋" w:eastAsia="仿宋" w:cs="仿宋"/>
          <w:color w:val="000000"/>
          <w:kern w:val="0"/>
          <w:sz w:val="32"/>
          <w:szCs w:val="32"/>
          <w:shd w:val="clear" w:color="auto" w:fill="FFFFFF"/>
        </w:rPr>
        <w:t>；二是部分地区停电抢修不及时</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抢修</w:t>
      </w:r>
      <w:r>
        <w:rPr>
          <w:rFonts w:hint="eastAsia" w:ascii="仿宋" w:hAnsi="仿宋" w:eastAsia="仿宋" w:cs="仿宋"/>
          <w:color w:val="000000"/>
          <w:kern w:val="0"/>
          <w:sz w:val="32"/>
          <w:szCs w:val="32"/>
          <w:shd w:val="clear" w:color="auto" w:fill="FFFFFF"/>
        </w:rPr>
        <w:t>时间较长</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如：晋中市平遥县</w:t>
      </w:r>
      <w:r>
        <w:rPr>
          <w:rFonts w:hint="eastAsia" w:ascii="仿宋" w:hAnsi="仿宋" w:eastAsia="仿宋" w:cs="仿宋"/>
          <w:color w:val="000000"/>
          <w:kern w:val="0"/>
          <w:sz w:val="32"/>
          <w:szCs w:val="32"/>
          <w:shd w:val="clear" w:color="auto" w:fill="FFFFFF"/>
          <w:lang w:eastAsia="zh-CN"/>
        </w:rPr>
        <w:t>东泉镇水磨头村</w:t>
      </w:r>
      <w:r>
        <w:rPr>
          <w:rFonts w:hint="eastAsia" w:ascii="仿宋" w:hAnsi="仿宋" w:eastAsia="仿宋" w:cs="仿宋"/>
          <w:color w:val="000000"/>
          <w:kern w:val="0"/>
          <w:sz w:val="32"/>
          <w:szCs w:val="32"/>
          <w:shd w:val="clear" w:color="auto" w:fill="FFFFFF"/>
          <w:lang w:val="en-US" w:eastAsia="zh-CN"/>
        </w:rPr>
        <w:t>停电抢修21小时；临汾市襄汾县永固乡北众村停电抢修18小时</w:t>
      </w:r>
      <w:r>
        <w:rPr>
          <w:rFonts w:hint="eastAsia" w:ascii="仿宋" w:hAnsi="仿宋" w:eastAsia="仿宋" w:cs="仿宋"/>
          <w:color w:val="000000"/>
          <w:kern w:val="0"/>
          <w:sz w:val="32"/>
          <w:szCs w:val="32"/>
          <w:shd w:val="clear" w:color="auto" w:fill="FFFFFF"/>
        </w:rPr>
        <w:t>；三是部分</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两率”水平不高</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频繁停电，</w:t>
      </w:r>
      <w:r>
        <w:rPr>
          <w:rFonts w:hint="eastAsia" w:ascii="仿宋" w:hAnsi="仿宋" w:eastAsia="仿宋" w:cs="仿宋"/>
          <w:color w:val="000000"/>
          <w:kern w:val="0"/>
          <w:sz w:val="32"/>
          <w:szCs w:val="32"/>
          <w:shd w:val="clear" w:color="auto" w:fill="FFFFFF"/>
        </w:rPr>
        <w:t>影响</w:t>
      </w:r>
      <w:r>
        <w:rPr>
          <w:rFonts w:hint="eastAsia" w:ascii="仿宋" w:hAnsi="仿宋" w:eastAsia="仿宋" w:cs="仿宋"/>
          <w:color w:val="000000"/>
          <w:kern w:val="0"/>
          <w:sz w:val="32"/>
          <w:szCs w:val="32"/>
          <w:shd w:val="clear" w:color="auto" w:fill="FFFFFF"/>
          <w:lang w:val="en-US" w:eastAsia="zh-CN"/>
        </w:rPr>
        <w:t>企业</w:t>
      </w:r>
      <w:r>
        <w:rPr>
          <w:rFonts w:hint="eastAsia" w:ascii="仿宋" w:hAnsi="仿宋" w:eastAsia="仿宋" w:cs="仿宋"/>
          <w:color w:val="000000"/>
          <w:kern w:val="0"/>
          <w:sz w:val="32"/>
          <w:szCs w:val="32"/>
          <w:shd w:val="clear" w:color="auto" w:fill="FFFFFF"/>
        </w:rPr>
        <w:t>正常</w:t>
      </w:r>
      <w:r>
        <w:rPr>
          <w:rFonts w:hint="eastAsia" w:ascii="仿宋" w:hAnsi="仿宋" w:eastAsia="仿宋" w:cs="仿宋"/>
          <w:color w:val="000000"/>
          <w:kern w:val="0"/>
          <w:sz w:val="32"/>
          <w:szCs w:val="32"/>
          <w:shd w:val="clear" w:color="auto" w:fill="FFFFFF"/>
          <w:lang w:val="en-US" w:eastAsia="zh-CN"/>
        </w:rPr>
        <w:t>生产经营。如大同市灵丘县10kV566成赵线频繁停电影响企业生产：</w:t>
      </w:r>
      <w:r>
        <w:rPr>
          <w:rFonts w:hint="eastAsia" w:ascii="仿宋" w:hAnsi="仿宋" w:eastAsia="仿宋" w:cs="仿宋"/>
          <w:color w:val="000000"/>
          <w:kern w:val="0"/>
          <w:sz w:val="32"/>
          <w:szCs w:val="32"/>
          <w:shd w:val="clear" w:color="auto" w:fill="FFFFFF"/>
        </w:rPr>
        <w:t>四是个别</w:t>
      </w:r>
      <w:r>
        <w:rPr>
          <w:rFonts w:hint="eastAsia" w:ascii="仿宋" w:hAnsi="仿宋" w:eastAsia="仿宋" w:cs="仿宋"/>
          <w:color w:val="000000"/>
          <w:kern w:val="0"/>
          <w:sz w:val="32"/>
          <w:szCs w:val="32"/>
          <w:shd w:val="clear" w:color="auto" w:fill="FFFFFF"/>
          <w:lang w:val="en-US" w:eastAsia="zh-CN"/>
        </w:rPr>
        <w:t>改造后遗留的废弃</w:t>
      </w:r>
      <w:r>
        <w:rPr>
          <w:rFonts w:hint="eastAsia" w:ascii="仿宋" w:hAnsi="仿宋" w:eastAsia="仿宋" w:cs="仿宋"/>
          <w:color w:val="000000"/>
          <w:kern w:val="0"/>
          <w:sz w:val="32"/>
          <w:szCs w:val="32"/>
          <w:shd w:val="clear" w:color="auto" w:fill="FFFFFF"/>
        </w:rPr>
        <w:t>电力设施</w:t>
      </w:r>
      <w:r>
        <w:rPr>
          <w:rFonts w:hint="eastAsia" w:ascii="仿宋" w:hAnsi="仿宋" w:eastAsia="仿宋" w:cs="仿宋"/>
          <w:color w:val="000000"/>
          <w:kern w:val="0"/>
          <w:sz w:val="32"/>
          <w:szCs w:val="32"/>
          <w:shd w:val="clear" w:color="auto" w:fill="FFFFFF"/>
          <w:lang w:val="en-US" w:eastAsia="zh-CN"/>
        </w:rPr>
        <w:t>长期不处理</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风蚀老化严重，</w:t>
      </w:r>
      <w:r>
        <w:rPr>
          <w:rFonts w:hint="eastAsia" w:ascii="仿宋" w:hAnsi="仿宋" w:eastAsia="仿宋" w:cs="仿宋"/>
          <w:color w:val="000000"/>
          <w:kern w:val="0"/>
          <w:sz w:val="32"/>
          <w:szCs w:val="32"/>
          <w:shd w:val="clear" w:color="auto" w:fill="FFFFFF"/>
        </w:rPr>
        <w:t>存在安全隐患。</w:t>
      </w:r>
      <w:r>
        <w:rPr>
          <w:rFonts w:hint="eastAsia" w:ascii="仿宋" w:hAnsi="仿宋" w:eastAsia="仿宋" w:cs="仿宋"/>
          <w:color w:val="000000"/>
          <w:kern w:val="0"/>
          <w:sz w:val="32"/>
          <w:szCs w:val="32"/>
          <w:shd w:val="clear" w:color="auto" w:fill="FFFFFF"/>
          <w:lang w:val="en-US" w:eastAsia="zh-CN"/>
        </w:rPr>
        <w:t>如：</w:t>
      </w:r>
      <w:r>
        <w:rPr>
          <w:rFonts w:hint="eastAsia" w:ascii="仿宋" w:hAnsi="仿宋" w:eastAsia="仿宋" w:cs="仿宋"/>
          <w:color w:val="000000"/>
          <w:kern w:val="0"/>
          <w:sz w:val="32"/>
          <w:szCs w:val="32"/>
          <w:shd w:val="clear" w:color="auto" w:fill="FFFFFF"/>
        </w:rPr>
        <w:t>晋中市祁县贾令镇北左村</w:t>
      </w:r>
      <w:r>
        <w:rPr>
          <w:rFonts w:hint="eastAsia" w:ascii="仿宋" w:hAnsi="仿宋" w:eastAsia="仿宋" w:cs="仿宋"/>
          <w:color w:val="000000"/>
          <w:kern w:val="0"/>
          <w:sz w:val="32"/>
          <w:szCs w:val="32"/>
          <w:shd w:val="clear" w:color="auto" w:fill="FFFFFF"/>
          <w:lang w:val="en-US" w:eastAsia="zh-CN"/>
        </w:rPr>
        <w:t>村内有多根废弃10年的电杆存在安全隐患。五是个别基层供电企业电价执行错误导致用户投诉。如:吕梁市临县三交镇镇街村用户电价执行认定错误。</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新能源和可再生能源行业主要反映了部分地区分布式光伏发电项目并网存在困难，相关费用结算不及时等问题。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经分析，造成以上问题的主要原因：一是部分供电企业资金投入不足，配网设施建设改造滞后；二是部分供电企业抢修力量不足，不能及时抢修用电高峰时期多发的停电故障；三是部分供电企</w:t>
      </w:r>
      <w:r>
        <w:rPr>
          <w:rFonts w:hint="eastAsia" w:ascii="仿宋" w:hAnsi="仿宋" w:eastAsia="仿宋" w:cs="仿宋"/>
          <w:color w:val="000000"/>
          <w:sz w:val="32"/>
          <w:szCs w:val="32"/>
          <w:shd w:val="clear" w:color="auto" w:fill="FFFFFF"/>
          <w:lang w:val="en-US" w:eastAsia="zh-CN"/>
        </w:rPr>
        <w:t>业运维不当导致频繁停电</w:t>
      </w:r>
      <w:r>
        <w:rPr>
          <w:rFonts w:hint="eastAsia" w:ascii="仿宋" w:hAnsi="仿宋" w:eastAsia="仿宋" w:cs="仿宋"/>
          <w:color w:val="000000"/>
          <w:sz w:val="32"/>
          <w:szCs w:val="32"/>
          <w:shd w:val="clear" w:color="auto" w:fill="FFFFFF"/>
        </w:rPr>
        <w:t>；四是个别供电企业未</w:t>
      </w:r>
      <w:r>
        <w:rPr>
          <w:rFonts w:hint="eastAsia" w:ascii="仿宋" w:hAnsi="仿宋" w:eastAsia="仿宋" w:cs="仿宋"/>
          <w:color w:val="000000"/>
          <w:sz w:val="32"/>
          <w:szCs w:val="32"/>
          <w:shd w:val="clear" w:color="auto" w:fill="FFFFFF"/>
          <w:lang w:val="en-US" w:eastAsia="zh-CN"/>
        </w:rPr>
        <w:t>及时清理低压改造后的废弃电力设施，存在安全隐患</w:t>
      </w:r>
      <w:r>
        <w:rPr>
          <w:rFonts w:hint="eastAsia" w:ascii="仿宋" w:hAnsi="仿宋" w:eastAsia="仿宋" w:cs="仿宋"/>
          <w:color w:val="000000"/>
          <w:sz w:val="32"/>
          <w:szCs w:val="32"/>
          <w:shd w:val="clear" w:color="auto" w:fill="FFFFFF"/>
        </w:rPr>
        <w:t>；五是个别供电企业未规范分布式光伏发电项目费用结算流程等。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rPr>
        <w:t>三、处理结果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2019年8月</w:t>
      </w:r>
      <w:r>
        <w:rPr>
          <w:rFonts w:hint="eastAsia" w:ascii="仿宋_GB2312" w:eastAsia="仿宋_GB2312"/>
          <w:color w:val="000000"/>
          <w:sz w:val="32"/>
        </w:rPr>
        <w:t>共收到投诉举报信息1</w:t>
      </w:r>
      <w:r>
        <w:rPr>
          <w:rFonts w:hint="eastAsia" w:ascii="仿宋_GB2312" w:eastAsia="仿宋_GB2312"/>
          <w:color w:val="000000"/>
          <w:sz w:val="32"/>
          <w:lang w:val="en-US" w:eastAsia="zh-CN"/>
        </w:rPr>
        <w:t>5</w:t>
      </w:r>
      <w:r>
        <w:rPr>
          <w:rFonts w:hint="eastAsia" w:ascii="仿宋_GB2312" w:eastAsia="仿宋_GB2312"/>
          <w:color w:val="000000"/>
          <w:sz w:val="32"/>
        </w:rPr>
        <w:t>件，根据国家有关法律法规规定，山西能源监管办对属于监管职责范围的1</w:t>
      </w:r>
      <w:r>
        <w:rPr>
          <w:rFonts w:hint="eastAsia" w:ascii="仿宋_GB2312" w:eastAsia="仿宋_GB2312"/>
          <w:color w:val="000000"/>
          <w:sz w:val="32"/>
          <w:lang w:val="en-US" w:eastAsia="zh-CN"/>
        </w:rPr>
        <w:t>5</w:t>
      </w:r>
      <w:r>
        <w:rPr>
          <w:rFonts w:hint="eastAsia" w:ascii="仿宋_GB2312" w:eastAsia="仿宋_GB2312"/>
          <w:color w:val="000000"/>
          <w:sz w:val="32"/>
        </w:rPr>
        <w:t>件进行了受理。</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一是通过解释说明，澄清事实，使当事人消除了误解；二是通过协调督促，加快电能质量问题的解决</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三是通过责令整改及时消除</w:t>
      </w:r>
      <w:r>
        <w:rPr>
          <w:rFonts w:hint="eastAsia" w:ascii="仿宋" w:hAnsi="仿宋" w:eastAsia="仿宋" w:cs="仿宋"/>
          <w:color w:val="000000"/>
          <w:sz w:val="32"/>
          <w:szCs w:val="32"/>
          <w:shd w:val="clear" w:color="auto" w:fill="FFFFFF"/>
        </w:rPr>
        <w:t>了安全隐患,保障了群众正常生产生活；</w:t>
      </w:r>
      <w:r>
        <w:rPr>
          <w:rFonts w:hint="eastAsia" w:ascii="仿宋" w:hAnsi="仿宋" w:eastAsia="仿宋" w:cs="仿宋"/>
          <w:color w:val="000000"/>
          <w:sz w:val="32"/>
          <w:szCs w:val="32"/>
          <w:shd w:val="clear" w:color="auto" w:fill="FFFFFF"/>
          <w:lang w:val="en-US" w:eastAsia="zh-CN"/>
        </w:rPr>
        <w:t>四</w:t>
      </w:r>
      <w:r>
        <w:rPr>
          <w:rFonts w:hint="eastAsia" w:ascii="仿宋" w:hAnsi="仿宋" w:eastAsia="仿宋" w:cs="仿宋"/>
          <w:color w:val="000000"/>
          <w:sz w:val="32"/>
          <w:szCs w:val="32"/>
          <w:shd w:val="clear" w:color="auto" w:fill="FFFFFF"/>
        </w:rPr>
        <w:t>是通过监管约谈，纠正了相关企业的违法违规行为，维护了当事人合法权益。</w:t>
      </w:r>
    </w:p>
    <w:p>
      <w:pPr>
        <w:spacing w:line="600" w:lineRule="exact"/>
        <w:ind w:firstLine="640" w:firstLineChars="200"/>
        <w:jc w:val="left"/>
        <w:rPr>
          <w:rFonts w:hint="eastAsia" w:ascii="仿宋_GB2312" w:eastAsia="仿宋_GB2312"/>
          <w:color w:val="000000"/>
          <w:sz w:val="32"/>
          <w:lang w:eastAsia="zh-CN"/>
        </w:rPr>
        <w:sectPr>
          <w:headerReference r:id="rId3" w:type="default"/>
          <w:footerReference r:id="rId4" w:type="default"/>
          <w:footerReference r:id="rId5" w:type="even"/>
          <w:pgSz w:w="11906" w:h="16838"/>
          <w:pgMar w:top="2041" w:right="1531" w:bottom="1928" w:left="1644" w:header="851" w:footer="992" w:gutter="0"/>
          <w:pgNumType w:start="1"/>
          <w:cols w:space="708" w:num="1"/>
          <w:docGrid w:linePitch="312" w:charSpace="0"/>
        </w:sectPr>
      </w:pPr>
      <w:r>
        <w:rPr>
          <w:rFonts w:hint="eastAsia" w:ascii="仿宋_GB2312" w:eastAsia="仿宋_GB2312"/>
          <w:sz w:val="32"/>
        </w:rPr>
        <w:t>2019年8月</w:t>
      </w:r>
      <w:r>
        <w:rPr>
          <w:rFonts w:hint="eastAsia" w:ascii="仿宋_GB2312" w:eastAsia="仿宋_GB2312"/>
          <w:color w:val="000000"/>
          <w:sz w:val="32"/>
        </w:rPr>
        <w:t>已办结投诉举报</w:t>
      </w:r>
      <w:r>
        <w:rPr>
          <w:rFonts w:hint="eastAsia" w:ascii="仿宋_GB2312" w:eastAsia="仿宋_GB2312"/>
          <w:color w:val="000000"/>
          <w:sz w:val="32"/>
          <w:lang w:val="en-US" w:eastAsia="zh-CN"/>
        </w:rPr>
        <w:t>15</w:t>
      </w:r>
      <w:r>
        <w:rPr>
          <w:rFonts w:hint="eastAsia" w:ascii="仿宋_GB2312" w:eastAsia="仿宋_GB2312"/>
          <w:color w:val="000000"/>
          <w:sz w:val="32"/>
        </w:rPr>
        <w:t>件</w:t>
      </w:r>
      <w:r>
        <w:rPr>
          <w:rFonts w:hint="eastAsia" w:ascii="仿宋_GB2312" w:eastAsia="仿宋_GB2312"/>
          <w:color w:val="000000"/>
          <w:sz w:val="32"/>
          <w:lang w:eastAsia="zh-CN"/>
        </w:rPr>
        <w:t>，</w:t>
      </w:r>
      <w:r>
        <w:rPr>
          <w:rFonts w:hint="eastAsia" w:ascii="仿宋_GB2312" w:eastAsia="仿宋_GB2312" w:cs="仿宋_GB2312"/>
          <w:color w:val="000000"/>
          <w:sz w:val="32"/>
          <w:szCs w:val="32"/>
        </w:rPr>
        <w:t>完成回访</w:t>
      </w:r>
      <w:r>
        <w:rPr>
          <w:rFonts w:hint="eastAsia" w:ascii="仿宋_GB2312" w:eastAsia="仿宋_GB2312" w:cs="仿宋_GB2312"/>
          <w:color w:val="000000"/>
          <w:sz w:val="32"/>
          <w:szCs w:val="32"/>
          <w:lang w:val="en-US" w:eastAsia="zh-CN"/>
        </w:rPr>
        <w:t>15</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88.89</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p>
    <w:p>
      <w:pPr>
        <w:rPr>
          <w:rFonts w:hint="eastAsia" w:ascii="仿宋_GB2312" w:eastAsia="仿宋_GB2312"/>
          <w:color w:val="000000"/>
          <w:sz w:val="28"/>
          <w:szCs w:val="28"/>
        </w:rPr>
      </w:pPr>
      <w:bookmarkStart w:id="1" w:name="_GoBack"/>
      <w:bookmarkEnd w:id="1"/>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7503B2"/>
    <w:rsid w:val="4D9B0966"/>
    <w:rsid w:val="4E406EFE"/>
    <w:rsid w:val="6DA066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font61"/>
    <w:qFormat/>
    <w:uiPriority w:val="0"/>
    <w:rPr>
      <w:rFonts w:hint="eastAsia" w:ascii="仿宋_GB2312" w:eastAsia="仿宋_GB2312" w:cs="仿宋_GB2312"/>
      <w:color w:val="000000"/>
      <w:sz w:val="18"/>
      <w:szCs w:val="18"/>
    </w:rPr>
  </w:style>
  <w:style w:type="character" w:customStyle="1" w:styleId="11">
    <w:name w:val="页眉 Char"/>
    <w:link w:val="4"/>
    <w:qFormat/>
    <w:uiPriority w:val="99"/>
    <w:rPr>
      <w:sz w:val="18"/>
      <w:szCs w:val="18"/>
    </w:rPr>
  </w:style>
  <w:style w:type="character" w:customStyle="1" w:styleId="12">
    <w:name w:val="font101"/>
    <w:uiPriority w:val="0"/>
    <w:rPr>
      <w:rFonts w:hint="eastAsia" w:ascii="仿宋_GB2312" w:eastAsia="仿宋_GB2312" w:cs="仿宋_GB2312"/>
      <w:color w:val="FF0000"/>
      <w:sz w:val="18"/>
      <w:szCs w:val="18"/>
    </w:rPr>
  </w:style>
  <w:style w:type="character" w:customStyle="1" w:styleId="13">
    <w:name w:val="页脚 Char"/>
    <w:link w:val="3"/>
    <w:uiPriority w:val="99"/>
    <w:rPr>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40</TotalTime>
  <ScaleCrop>false</ScaleCrop>
  <LinksUpToDate>false</LinksUpToDate>
  <CharactersWithSpaces>2518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2019-09-18T02:27:11Z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