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hint="eastAsia" w:ascii="黑体" w:hAnsi="宋体" w:eastAsia="黑体"/>
          <w:color w:val="000000"/>
          <w:sz w:val="40"/>
          <w:szCs w:val="44"/>
        </w:rPr>
      </w:pP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2020年1 月12398能源监管热线</w:t>
      </w: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投诉举报处理情况通报</w:t>
      </w:r>
    </w:p>
    <w:p>
      <w:pPr>
        <w:spacing w:line="560" w:lineRule="exact"/>
        <w:ind w:firstLine="643" w:firstLineChars="200"/>
        <w:jc w:val="center"/>
        <w:rPr>
          <w:rFonts w:ascii="仿宋_GB2312" w:eastAsia="仿宋_GB2312"/>
          <w:b/>
          <w:color w:val="000000"/>
          <w:sz w:val="32"/>
        </w:rPr>
      </w:pP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为了保护能源投资者、经营者、使用者的合法权益，维护能源市场秩序，依法履行监管职责，</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积极畅通投诉举报渠道，切实发挥</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能源监管热线（含</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电话、传真、电子邮件等）的作用，认真受理能源监管投诉举报事项，定期公布投诉举报处理情况。现将</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w:t>
      </w:r>
      <w:r>
        <w:rPr>
          <w:rFonts w:hint="eastAsia" w:ascii="仿宋_GB2312" w:eastAsia="仿宋_GB2312" w:cs="仿宋_GB2312"/>
          <w:sz w:val="32"/>
          <w:szCs w:val="32"/>
        </w:rPr>
        <w:t>（以下简称</w:t>
      </w:r>
      <w:r>
        <w:rPr>
          <w:rFonts w:ascii="仿宋_GB2312" w:eastAsia="仿宋_GB2312" w:cs="仿宋_GB2312"/>
          <w:sz w:val="32"/>
          <w:szCs w:val="32"/>
        </w:rPr>
        <w:t>12398</w:t>
      </w:r>
      <w:r>
        <w:rPr>
          <w:rFonts w:hint="eastAsia" w:ascii="仿宋_GB2312" w:eastAsia="仿宋_GB2312" w:cs="仿宋_GB2312"/>
          <w:sz w:val="32"/>
          <w:szCs w:val="32"/>
        </w:rPr>
        <w:t>热线）</w:t>
      </w:r>
      <w:r>
        <w:rPr>
          <w:rFonts w:hint="eastAsia" w:ascii="仿宋_GB2312" w:eastAsia="仿宋_GB2312" w:cs="仿宋_GB2312"/>
          <w:color w:val="000000"/>
          <w:sz w:val="32"/>
          <w:szCs w:val="32"/>
        </w:rPr>
        <w:t>投诉举报处理情况通报如下：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cs="黑体"/>
          <w:color w:val="000000"/>
          <w:sz w:val="32"/>
          <w:lang w:eastAsia="zh-CN"/>
        </w:rPr>
      </w:pPr>
      <w:r>
        <w:rPr>
          <w:rFonts w:hint="eastAsia" w:ascii="黑体" w:hAnsi="黑体" w:eastAsia="黑体" w:cs="黑体"/>
          <w:color w:val="000000"/>
          <w:sz w:val="32"/>
        </w:rPr>
        <w:t>一</w:t>
      </w:r>
      <w:r>
        <w:rPr>
          <w:rFonts w:hint="eastAsia" w:ascii="黑体" w:hAnsi="黑体" w:eastAsia="黑体" w:cs="黑体"/>
          <w:color w:val="000000"/>
          <w:sz w:val="32"/>
          <w:lang w:eastAsia="zh-CN"/>
        </w:rPr>
        <w:t>、</w:t>
      </w:r>
      <w:r>
        <w:rPr>
          <w:rFonts w:hint="eastAsia" w:ascii="黑体" w:hAnsi="黑体" w:eastAsia="黑体" w:cs="黑体"/>
          <w:color w:val="000000"/>
          <w:sz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w:t>
      </w:r>
      <w:r>
        <w:rPr>
          <w:rFonts w:hint="eastAsia" w:ascii="仿宋_GB2312" w:eastAsia="仿宋_GB2312" w:cs="仿宋_GB2312"/>
          <w:color w:val="000000"/>
          <w:sz w:val="32"/>
          <w:szCs w:val="32"/>
        </w:rPr>
        <w:t>月，</w:t>
      </w:r>
      <w:r>
        <w:rPr>
          <w:rFonts w:ascii="仿宋_GB2312" w:eastAsia="仿宋_GB2312" w:cs="仿宋_GB2312"/>
          <w:color w:val="000000"/>
          <w:sz w:val="32"/>
          <w:szCs w:val="32"/>
        </w:rPr>
        <w:t>山西能源监管办12398</w:t>
      </w:r>
      <w:r>
        <w:rPr>
          <w:rFonts w:hint="eastAsia" w:ascii="仿宋_GB2312" w:eastAsia="仿宋_GB2312" w:cs="仿宋_GB2312"/>
          <w:color w:val="000000"/>
          <w:sz w:val="32"/>
          <w:szCs w:val="32"/>
        </w:rPr>
        <w:t>热线共收到有效信息</w:t>
      </w:r>
      <w:r>
        <w:rPr>
          <w:rFonts w:ascii="仿宋_GB2312" w:eastAsia="仿宋_GB2312" w:cs="仿宋_GB2312"/>
          <w:color w:val="000000"/>
          <w:sz w:val="32"/>
          <w:szCs w:val="32"/>
        </w:rPr>
        <w:t>273</w:t>
      </w:r>
      <w:r>
        <w:rPr>
          <w:rFonts w:hint="eastAsia" w:ascii="仿宋_GB2312" w:eastAsia="仿宋_GB2312" w:cs="仿宋_GB2312"/>
          <w:color w:val="000000"/>
          <w:sz w:val="32"/>
          <w:szCs w:val="32"/>
        </w:rPr>
        <w:t>件，环比</w:t>
      </w:r>
      <w:r>
        <w:rPr>
          <w:rFonts w:ascii="仿宋_GB2312" w:eastAsia="仿宋_GB2312" w:cs="仿宋_GB2312"/>
          <w:color w:val="000000"/>
          <w:sz w:val="32"/>
          <w:szCs w:val="32"/>
        </w:rPr>
        <w:t>减少29.27%</w:t>
      </w:r>
      <w:r>
        <w:rPr>
          <w:rFonts w:hint="eastAsia" w:ascii="仿宋_GB2312" w:eastAsia="仿宋_GB2312" w:cs="仿宋_GB2312"/>
          <w:color w:val="000000"/>
          <w:sz w:val="32"/>
          <w:szCs w:val="32"/>
        </w:rPr>
        <w:t>，同比</w:t>
      </w:r>
      <w:r>
        <w:rPr>
          <w:rFonts w:ascii="仿宋_GB2312" w:eastAsia="仿宋_GB2312" w:cs="仿宋_GB2312"/>
          <w:color w:val="000000"/>
          <w:sz w:val="32"/>
          <w:szCs w:val="32"/>
        </w:rPr>
        <w:t>增加12.35%</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按诉求性质分类，投诉</w:t>
      </w:r>
      <w:r>
        <w:rPr>
          <w:rFonts w:ascii="仿宋_GB2312" w:eastAsia="仿宋_GB2312" w:cs="仿宋_GB2312"/>
          <w:color w:val="000000"/>
          <w:sz w:val="32"/>
          <w:szCs w:val="32"/>
        </w:rPr>
        <w:t>18</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6.59%</w:t>
      </w:r>
      <w:r>
        <w:rPr>
          <w:rFonts w:hint="eastAsia" w:ascii="仿宋_GB2312" w:eastAsia="仿宋_GB2312" w:cs="仿宋_GB2312"/>
          <w:color w:val="000000"/>
          <w:sz w:val="32"/>
          <w:szCs w:val="32"/>
        </w:rPr>
        <w:t>；咨询</w:t>
      </w:r>
      <w:r>
        <w:rPr>
          <w:rFonts w:ascii="仿宋_GB2312" w:eastAsia="仿宋_GB2312" w:cs="仿宋_GB2312"/>
          <w:color w:val="000000"/>
          <w:sz w:val="32"/>
          <w:szCs w:val="32"/>
        </w:rPr>
        <w:t>233</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85.35%</w:t>
      </w:r>
      <w:r>
        <w:rPr>
          <w:rFonts w:hint="eastAsia" w:ascii="仿宋_GB2312" w:eastAsia="仿宋_GB2312" w:cs="仿宋_GB2312"/>
          <w:color w:val="000000"/>
          <w:sz w:val="32"/>
          <w:szCs w:val="32"/>
        </w:rPr>
        <w:t>；表扬、求助、建议等其他方面</w:t>
      </w:r>
      <w:r>
        <w:rPr>
          <w:rFonts w:ascii="仿宋_GB2312" w:eastAsia="仿宋_GB2312" w:cs="仿宋_GB2312"/>
          <w:color w:val="000000"/>
          <w:sz w:val="32"/>
          <w:szCs w:val="32"/>
        </w:rPr>
        <w:t>22</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8.06%</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按反映渠道分类，</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w:t>
      </w:r>
      <w:r>
        <w:rPr>
          <w:rFonts w:ascii="仿宋_GB2312" w:eastAsia="仿宋_GB2312" w:cs="仿宋_GB2312"/>
          <w:color w:val="000000"/>
          <w:sz w:val="32"/>
          <w:szCs w:val="32"/>
        </w:rPr>
        <w:t>271</w:t>
      </w:r>
      <w:r>
        <w:rPr>
          <w:rFonts w:hint="eastAsia" w:ascii="仿宋_GB2312" w:eastAsia="仿宋_GB2312" w:cs="仿宋_GB2312"/>
          <w:color w:val="000000"/>
          <w:sz w:val="32"/>
          <w:szCs w:val="32"/>
        </w:rPr>
        <w:t>件，</w:t>
      </w:r>
      <w:r>
        <w:rPr>
          <w:rFonts w:hint="eastAsia" w:ascii="仿宋_GB2312" w:eastAsia="仿宋_GB2312" w:cs="仿宋_GB2312"/>
          <w:color w:val="000000"/>
          <w:sz w:val="32"/>
          <w:szCs w:val="32"/>
          <w:lang w:val="en-US" w:eastAsia="zh-CN"/>
        </w:rPr>
        <w:t>留言2件</w:t>
      </w:r>
      <w:r>
        <w:rPr>
          <w:rFonts w:hint="eastAsia" w:ascii="仿宋_GB2312" w:eastAsia="仿宋_GB2312" w:cs="仿宋_GB2312"/>
          <w:color w:val="000000"/>
          <w:sz w:val="32"/>
          <w:szCs w:val="32"/>
        </w:rPr>
        <w:t>。（</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hint="eastAsia" w:ascii="仿宋_GB2312" w:eastAsia="仿宋_GB2312" w:cs="仿宋_GB2312"/>
          <w:color w:val="000000"/>
          <w:sz w:val="32"/>
          <w:szCs w:val="32"/>
        </w:rPr>
        <w:t>收到有效信息情况见表一）</w:t>
      </w:r>
    </w:p>
    <w:p>
      <w:pPr>
        <w:widowControl/>
        <w:snapToGrid w:val="0"/>
        <w:spacing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表一 </w:t>
      </w:r>
      <w:r>
        <w:rPr>
          <w:rFonts w:hint="eastAsia" w:ascii="仿宋_GB2312" w:eastAsia="仿宋_GB2312"/>
          <w:color w:val="000000"/>
          <w:sz w:val="32"/>
        </w:rPr>
        <w:t>2020年1月</w:t>
      </w:r>
      <w:r>
        <w:rPr>
          <w:rFonts w:hint="eastAsia" w:ascii="宋体" w:hAnsi="宋体" w:cs="宋体"/>
          <w:b/>
          <w:color w:val="000000"/>
          <w:kern w:val="0"/>
          <w:sz w:val="30"/>
          <w:szCs w:val="32"/>
        </w:rPr>
        <w:t>收到有效信息情况</w:t>
      </w:r>
    </w:p>
    <w:p>
      <w:pPr>
        <w:widowControl/>
        <w:snapToGrid w:val="0"/>
        <w:spacing w:before="120" w:beforeLines="50" w:after="120" w:afterLines="50" w:line="280" w:lineRule="exact"/>
        <w:ind w:right="125"/>
        <w:jc w:val="right"/>
        <w:rPr>
          <w:rFonts w:ascii="宋体" w:hAnsi="宋体" w:cs="宋体"/>
          <w:color w:val="000000"/>
          <w:kern w:val="0"/>
          <w:sz w:val="24"/>
          <w:szCs w:val="28"/>
        </w:rPr>
      </w:pPr>
      <w:r>
        <w:rPr>
          <w:rFonts w:hint="eastAsia" w:ascii="宋体" w:hAnsi="宋体" w:cs="宋体"/>
          <w:color w:val="000000"/>
          <w:kern w:val="0"/>
          <w:sz w:val="24"/>
          <w:szCs w:val="28"/>
        </w:rPr>
        <w:t>单位：件</w:t>
      </w:r>
    </w:p>
    <w:tbl>
      <w:tblPr>
        <w:tblStyle w:val="6"/>
        <w:tblW w:w="0" w:type="auto"/>
        <w:jc w:val="center"/>
        <w:tblLayout w:type="fixed"/>
        <w:tblCellMar>
          <w:top w:w="0" w:type="dxa"/>
          <w:left w:w="108" w:type="dxa"/>
          <w:bottom w:w="0" w:type="dxa"/>
          <w:right w:w="108" w:type="dxa"/>
        </w:tblCellMar>
      </w:tblPr>
      <w:tblGrid>
        <w:gridCol w:w="2433"/>
        <w:gridCol w:w="1239"/>
        <w:gridCol w:w="1239"/>
        <w:gridCol w:w="1239"/>
        <w:gridCol w:w="1239"/>
        <w:gridCol w:w="1239"/>
      </w:tblGrid>
      <w:tr>
        <w:tblPrEx>
          <w:tblCellMar>
            <w:top w:w="0" w:type="dxa"/>
            <w:left w:w="108" w:type="dxa"/>
            <w:bottom w:w="0" w:type="dxa"/>
            <w:right w:w="108" w:type="dxa"/>
          </w:tblCellMar>
        </w:tblPrEx>
        <w:trPr>
          <w:trHeight w:val="375" w:hRule="atLeast"/>
          <w:jc w:val="center"/>
        </w:trPr>
        <w:tc>
          <w:tcPr>
            <w:tcW w:w="2433" w:type="dxa"/>
            <w:tcBorders>
              <w:top w:val="thinThickSmallGap" w:color="000000" w:sz="12" w:space="0"/>
              <w:left w:val="thinThickSmallGap" w:color="000000" w:sz="12" w:space="0"/>
              <w:bottom w:val="double" w:color="000000" w:sz="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反映渠道</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投诉</w:t>
            </w:r>
          </w:p>
        </w:tc>
        <w:tc>
          <w:tcPr>
            <w:tcW w:w="1239" w:type="dxa"/>
            <w:tcBorders>
              <w:top w:val="thinThickSmallGap" w:color="000000" w:sz="12" w:space="0"/>
              <w:left w:val="single" w:color="000000" w:sz="4" w:space="0"/>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咨询</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1239" w:type="dxa"/>
            <w:tcBorders>
              <w:top w:val="thinThickSmallGap" w:color="000000" w:sz="12" w:space="0"/>
              <w:left w:val="nil"/>
              <w:bottom w:val="double" w:color="000000" w:sz="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CellMar>
            <w:top w:w="0" w:type="dxa"/>
            <w:left w:w="108" w:type="dxa"/>
            <w:bottom w:w="0" w:type="dxa"/>
            <w:right w:w="108" w:type="dxa"/>
          </w:tblCellMar>
        </w:tblPrEx>
        <w:trPr>
          <w:trHeight w:val="585" w:hRule="atLeast"/>
          <w:jc w:val="center"/>
        </w:trPr>
        <w:tc>
          <w:tcPr>
            <w:tcW w:w="2433" w:type="dxa"/>
            <w:tcBorders>
              <w:top w:val="double" w:color="000000" w:sz="2"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12398电话</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ascii="仿宋_GB2312" w:hAnsi="宋体" w:eastAsia="仿宋_GB2312" w:cs="宋体"/>
                <w:kern w:val="0"/>
                <w:sz w:val="24"/>
              </w:rPr>
              <w:t>18</w:t>
            </w:r>
          </w:p>
        </w:tc>
        <w:tc>
          <w:tcPr>
            <w:tcW w:w="1239" w:type="dxa"/>
            <w:tcBorders>
              <w:top w:val="double" w:color="000000" w:sz="2"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231</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22</w:t>
            </w:r>
          </w:p>
        </w:tc>
        <w:tc>
          <w:tcPr>
            <w:tcW w:w="1239" w:type="dxa"/>
            <w:tcBorders>
              <w:top w:val="double" w:color="000000" w:sz="2"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271</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留言</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2</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    他</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double" w:color="auto" w:sz="4" w:space="0"/>
              <w:left w:val="thinThickSmallGap" w:color="000000" w:sz="12" w:space="0"/>
              <w:bottom w:val="thickThinSmallGap" w:color="000000" w:sz="1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18</w:t>
            </w:r>
          </w:p>
        </w:tc>
        <w:tc>
          <w:tcPr>
            <w:tcW w:w="1239" w:type="dxa"/>
            <w:tcBorders>
              <w:top w:val="double" w:color="auto" w:sz="4" w:space="0"/>
              <w:left w:val="single" w:color="000000" w:sz="4" w:space="0"/>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233</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22</w:t>
            </w:r>
          </w:p>
        </w:tc>
        <w:tc>
          <w:tcPr>
            <w:tcW w:w="1239" w:type="dxa"/>
            <w:tcBorders>
              <w:top w:val="double" w:color="auto" w:sz="4" w:space="0"/>
              <w:left w:val="nil"/>
              <w:bottom w:val="thickThinSmallGap" w:color="000000" w:sz="1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273</w:t>
            </w:r>
          </w:p>
        </w:tc>
      </w:tr>
    </w:tbl>
    <w:p>
      <w:pPr>
        <w:widowControl/>
        <w:snapToGrid w:val="0"/>
        <w:spacing w:line="360" w:lineRule="exact"/>
        <w:jc w:val="center"/>
        <w:rPr>
          <w:rFonts w:ascii="宋体" w:hAnsi="宋体" w:cs="宋体"/>
          <w:color w:val="000000"/>
          <w:kern w:val="0"/>
          <w:sz w:val="28"/>
          <w:szCs w:val="28"/>
        </w:rPr>
      </w:pPr>
    </w:p>
    <w:p>
      <w:pPr>
        <w:spacing w:line="560" w:lineRule="exact"/>
        <w:ind w:firstLine="640" w:firstLineChars="200"/>
        <w:rPr>
          <w:rFonts w:hint="eastAsia" w:ascii="黑体" w:hAnsi="黑体" w:eastAsia="黑体" w:cs="黑体"/>
          <w:color w:val="000000"/>
          <w:sz w:val="32"/>
        </w:rPr>
      </w:pPr>
      <w:r>
        <w:rPr>
          <w:rFonts w:hint="eastAsia" w:ascii="黑体" w:hAnsi="黑体" w:eastAsia="黑体" w:cs="黑体"/>
          <w:color w:val="000000"/>
          <w:sz w:val="32"/>
        </w:rPr>
        <w:t>二</w:t>
      </w:r>
      <w:r>
        <w:rPr>
          <w:rFonts w:hint="eastAsia" w:ascii="黑体" w:hAnsi="黑体" w:eastAsia="黑体" w:cs="黑体"/>
          <w:color w:val="000000"/>
          <w:sz w:val="32"/>
          <w:lang w:eastAsia="zh-CN"/>
        </w:rPr>
        <w:t>、</w:t>
      </w:r>
      <w:r>
        <w:rPr>
          <w:rFonts w:hint="eastAsia" w:ascii="黑体" w:hAnsi="黑体" w:eastAsia="黑体" w:cs="黑体"/>
          <w:color w:val="000000"/>
          <w:sz w:val="32"/>
        </w:rPr>
        <w:t>分类情况</w:t>
      </w:r>
    </w:p>
    <w:p>
      <w:pPr>
        <w:spacing w:line="640" w:lineRule="exact"/>
        <w:ind w:firstLine="640" w:firstLineChars="200"/>
        <w:rPr>
          <w:rFonts w:hint="eastAsia" w:ascii="仿宋_GB2312" w:eastAsia="仿宋_GB2312" w:cs="仿宋_GB2312"/>
          <w:sz w:val="32"/>
          <w:szCs w:val="32"/>
          <w:lang w:val="en-US" w:eastAsia="zh-CN"/>
        </w:rPr>
      </w:pP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月收到的有效信息中</w:t>
      </w:r>
      <w:r>
        <w:rPr>
          <w:rFonts w:hint="eastAsia" w:ascii="仿宋_GB2312" w:eastAsia="仿宋_GB2312" w:cs="仿宋_GB2312"/>
          <w:sz w:val="32"/>
          <w:szCs w:val="32"/>
          <w:lang w:val="en-US" w:eastAsia="zh-CN"/>
        </w:rPr>
        <w:t>:</w:t>
      </w:r>
    </w:p>
    <w:p>
      <w:pPr>
        <w:spacing w:line="640" w:lineRule="exact"/>
        <w:ind w:firstLine="643" w:firstLineChars="200"/>
        <w:rPr>
          <w:rFonts w:hint="eastAsia" w:ascii="仿宋_GB2312" w:eastAsia="仿宋_GB2312" w:cs="仿宋_GB2312"/>
          <w:sz w:val="32"/>
          <w:szCs w:val="32"/>
          <w:lang w:val="en-US" w:eastAsia="zh-CN"/>
        </w:rPr>
      </w:pPr>
      <w:r>
        <w:rPr>
          <w:rFonts w:hint="eastAsia" w:ascii="仿宋_GB2312" w:eastAsia="仿宋_GB2312"/>
          <w:b/>
          <w:bCs/>
          <w:sz w:val="32"/>
          <w:szCs w:val="32"/>
        </w:rPr>
        <w:t>电力行业</w:t>
      </w:r>
      <w:r>
        <w:rPr>
          <w:rFonts w:hint="eastAsia" w:ascii="仿宋_GB2312" w:eastAsia="仿宋_GB2312" w:cs="仿宋_GB2312"/>
          <w:sz w:val="32"/>
          <w:szCs w:val="32"/>
          <w:lang w:val="en-US" w:eastAsia="zh-CN"/>
        </w:rPr>
        <w:t>排在首位，有效信息数量为</w:t>
      </w:r>
      <w:r>
        <w:rPr>
          <w:rFonts w:ascii="仿宋_GB2312" w:eastAsia="仿宋_GB2312" w:cs="仿宋_GB2312"/>
          <w:sz w:val="32"/>
          <w:szCs w:val="32"/>
        </w:rPr>
        <w:t>184</w:t>
      </w:r>
      <w:r>
        <w:rPr>
          <w:rFonts w:hint="eastAsia" w:ascii="仿宋_GB2312" w:eastAsia="仿宋_GB2312" w:cs="仿宋_GB2312"/>
          <w:sz w:val="32"/>
          <w:szCs w:val="32"/>
        </w:rPr>
        <w:t>件，占</w:t>
      </w:r>
      <w:r>
        <w:rPr>
          <w:rFonts w:hint="eastAsia" w:ascii="仿宋_GB2312" w:eastAsia="仿宋_GB2312" w:cs="仿宋_GB2312"/>
          <w:sz w:val="32"/>
          <w:szCs w:val="32"/>
          <w:lang w:val="en-US" w:eastAsia="zh-CN"/>
        </w:rPr>
        <w:t>全部有效信息的</w:t>
      </w:r>
      <w:r>
        <w:rPr>
          <w:rFonts w:ascii="仿宋_GB2312" w:eastAsia="仿宋_GB2312" w:cs="仿宋_GB2312"/>
          <w:sz w:val="32"/>
          <w:szCs w:val="32"/>
        </w:rPr>
        <w:t>67.40%</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其中受理的投诉举报数量15件，占全部投诉举报数量的83.33%。群众反映问题主要集中在供电服务、电力安全、成本价格和收费等方面。（2020年1月电力行业有效信息按业务分类情况见表二）</w:t>
      </w:r>
    </w:p>
    <w:p>
      <w:pPr>
        <w:spacing w:line="640" w:lineRule="exact"/>
        <w:ind w:firstLine="643" w:firstLineChars="200"/>
        <w:rPr>
          <w:rFonts w:hint="eastAsia" w:ascii="仿宋_GB2312" w:eastAsia="仿宋_GB2312" w:cs="仿宋_GB2312"/>
          <w:sz w:val="32"/>
          <w:szCs w:val="32"/>
        </w:rPr>
      </w:pPr>
      <w:r>
        <w:rPr>
          <w:rFonts w:hint="eastAsia" w:ascii="仿宋_GB2312" w:eastAsia="仿宋_GB2312"/>
          <w:b/>
          <w:bCs/>
          <w:sz w:val="32"/>
          <w:szCs w:val="32"/>
        </w:rPr>
        <w:t>新能源和可再生能源行业</w:t>
      </w:r>
      <w:r>
        <w:rPr>
          <w:rFonts w:hint="eastAsia" w:ascii="仿宋_GB2312" w:eastAsia="仿宋_GB2312"/>
          <w:sz w:val="32"/>
          <w:szCs w:val="32"/>
        </w:rPr>
        <w:t>排在第二位，有效信息数量为</w:t>
      </w:r>
      <w:r>
        <w:rPr>
          <w:rFonts w:ascii="仿宋_GB2312" w:eastAsia="仿宋_GB2312" w:cs="仿宋_GB2312"/>
          <w:sz w:val="32"/>
          <w:szCs w:val="32"/>
        </w:rPr>
        <w:t>27</w:t>
      </w:r>
      <w:r>
        <w:rPr>
          <w:rFonts w:hint="eastAsia" w:ascii="仿宋_GB2312" w:eastAsia="仿宋_GB2312" w:cs="仿宋_GB2312"/>
          <w:sz w:val="32"/>
          <w:szCs w:val="32"/>
        </w:rPr>
        <w:t>件</w:t>
      </w:r>
      <w:r>
        <w:rPr>
          <w:rFonts w:hint="eastAsia" w:ascii="仿宋_GB2312" w:eastAsia="仿宋_GB2312"/>
          <w:sz w:val="32"/>
          <w:szCs w:val="32"/>
        </w:rPr>
        <w:t>，占全部有效信息的</w:t>
      </w:r>
      <w:r>
        <w:rPr>
          <w:rFonts w:ascii="仿宋_GB2312" w:eastAsia="仿宋_GB2312" w:cs="仿宋_GB2312"/>
          <w:sz w:val="32"/>
          <w:szCs w:val="32"/>
        </w:rPr>
        <w:t>9.89%</w:t>
      </w:r>
      <w:r>
        <w:rPr>
          <w:rFonts w:hint="eastAsia" w:ascii="仿宋_GB2312" w:eastAsia="仿宋_GB2312" w:cs="仿宋_GB2312"/>
          <w:sz w:val="32"/>
          <w:szCs w:val="32"/>
        </w:rPr>
        <w:t>；</w:t>
      </w:r>
      <w:r>
        <w:rPr>
          <w:rFonts w:hint="eastAsia" w:ascii="仿宋_GB2312" w:eastAsia="仿宋_GB2312"/>
          <w:sz w:val="32"/>
          <w:szCs w:val="32"/>
        </w:rPr>
        <w:t>其中受理的投诉举报数量为</w:t>
      </w:r>
      <w:r>
        <w:rPr>
          <w:rFonts w:hint="eastAsia" w:ascii="仿宋_GB2312" w:eastAsia="仿宋_GB2312" w:cs="仿宋_GB2312"/>
          <w:sz w:val="32"/>
          <w:szCs w:val="32"/>
          <w:lang w:val="en-US" w:eastAsia="zh-CN"/>
        </w:rPr>
        <w:t>1</w:t>
      </w:r>
      <w:r>
        <w:rPr>
          <w:rFonts w:hint="eastAsia" w:ascii="仿宋_GB2312" w:eastAsia="仿宋_GB2312"/>
          <w:sz w:val="32"/>
          <w:szCs w:val="32"/>
        </w:rPr>
        <w:t>件，占全部投诉举报数量的</w:t>
      </w:r>
      <w:r>
        <w:rPr>
          <w:rFonts w:hint="eastAsia" w:ascii="仿宋_GB2312" w:eastAsia="仿宋_GB2312" w:cs="仿宋_GB2312"/>
          <w:sz w:val="32"/>
          <w:szCs w:val="32"/>
          <w:lang w:val="en-US" w:eastAsia="zh-CN"/>
        </w:rPr>
        <w:t>5.56</w:t>
      </w:r>
      <w:r>
        <w:rPr>
          <w:rFonts w:hint="eastAsia" w:ascii="仿宋_GB2312" w:eastAsia="仿宋_GB2312"/>
          <w:sz w:val="32"/>
          <w:szCs w:val="32"/>
        </w:rPr>
        <w:t>%。群众反映的问题主要集中在分布式光伏发电项目并网验收、上网电费和补贴结算等方面。</w:t>
      </w:r>
    </w:p>
    <w:p>
      <w:pPr>
        <w:spacing w:line="640" w:lineRule="exact"/>
        <w:ind w:firstLine="643" w:firstLineChars="200"/>
        <w:rPr>
          <w:rFonts w:hint="eastAsia" w:ascii="仿宋_GB2312" w:eastAsia="仿宋_GB2312"/>
          <w:sz w:val="32"/>
          <w:szCs w:val="32"/>
        </w:rPr>
      </w:pPr>
      <w:r>
        <w:rPr>
          <w:rFonts w:hint="eastAsia" w:ascii="仿宋_GB2312" w:eastAsia="仿宋_GB2312"/>
          <w:b/>
          <w:bCs/>
          <w:sz w:val="32"/>
          <w:szCs w:val="32"/>
        </w:rPr>
        <w:t>石油天然气行业</w:t>
      </w:r>
      <w:r>
        <w:rPr>
          <w:rFonts w:hint="eastAsia" w:ascii="仿宋_GB2312" w:eastAsia="仿宋_GB2312"/>
          <w:sz w:val="32"/>
          <w:szCs w:val="32"/>
        </w:rPr>
        <w:t>排在第三位，有效信息数量为</w:t>
      </w:r>
      <w:r>
        <w:rPr>
          <w:rFonts w:ascii="仿宋_GB2312" w:eastAsia="仿宋_GB2312" w:cs="仿宋_GB2312"/>
          <w:sz w:val="32"/>
          <w:szCs w:val="32"/>
        </w:rPr>
        <w:t>47</w:t>
      </w:r>
      <w:r>
        <w:rPr>
          <w:rFonts w:hint="eastAsia" w:ascii="仿宋_GB2312" w:eastAsia="仿宋_GB2312" w:cs="仿宋_GB2312"/>
          <w:sz w:val="32"/>
          <w:szCs w:val="32"/>
        </w:rPr>
        <w:t>件</w:t>
      </w:r>
      <w:r>
        <w:rPr>
          <w:rFonts w:hint="eastAsia" w:ascii="仿宋_GB2312" w:eastAsia="仿宋_GB2312"/>
          <w:sz w:val="32"/>
          <w:szCs w:val="32"/>
        </w:rPr>
        <w:t>，占全部有效信息的</w:t>
      </w:r>
      <w:r>
        <w:rPr>
          <w:rFonts w:ascii="仿宋_GB2312" w:eastAsia="仿宋_GB2312" w:cs="仿宋_GB2312"/>
          <w:sz w:val="32"/>
          <w:szCs w:val="32"/>
        </w:rPr>
        <w:t>17.22%</w:t>
      </w:r>
      <w:r>
        <w:rPr>
          <w:rFonts w:hint="eastAsia" w:ascii="仿宋_GB2312" w:eastAsia="仿宋_GB2312"/>
          <w:sz w:val="32"/>
          <w:szCs w:val="32"/>
        </w:rPr>
        <w:t>。有效信息主要集中于咨询居民燃气安装及收费、反映燃气故障问题等方面。</w:t>
      </w:r>
    </w:p>
    <w:p>
      <w:pPr>
        <w:spacing w:line="640" w:lineRule="exact"/>
        <w:ind w:firstLine="640" w:firstLineChars="200"/>
        <w:rPr>
          <w:rFonts w:ascii="仿宋_GB2312" w:eastAsia="仿宋_GB2312"/>
          <w:color w:val="000000"/>
          <w:sz w:val="32"/>
          <w:szCs w:val="32"/>
        </w:rPr>
      </w:pPr>
      <w:r>
        <w:rPr>
          <w:rFonts w:hint="eastAsia" w:ascii="仿宋_GB2312" w:eastAsia="仿宋_GB2312"/>
          <w:sz w:val="32"/>
          <w:szCs w:val="32"/>
        </w:rPr>
        <w:t>其他有效信息合计</w:t>
      </w:r>
      <w:r>
        <w:rPr>
          <w:rFonts w:hint="eastAsia" w:ascii="仿宋_GB2312" w:eastAsia="仿宋_GB2312"/>
          <w:sz w:val="32"/>
          <w:szCs w:val="32"/>
          <w:lang w:val="en-US" w:eastAsia="zh-CN"/>
        </w:rPr>
        <w:t>15</w:t>
      </w:r>
      <w:r>
        <w:rPr>
          <w:rFonts w:hint="eastAsia" w:ascii="仿宋_GB2312" w:eastAsia="仿宋_GB2312"/>
          <w:sz w:val="32"/>
          <w:szCs w:val="32"/>
        </w:rPr>
        <w:t>件，占全部有效信息的</w:t>
      </w:r>
      <w:r>
        <w:rPr>
          <w:rFonts w:hint="eastAsia" w:ascii="仿宋_GB2312" w:eastAsia="仿宋_GB2312"/>
          <w:sz w:val="32"/>
          <w:szCs w:val="32"/>
          <w:lang w:val="en-US" w:eastAsia="zh-CN"/>
        </w:rPr>
        <w:t>5.49</w:t>
      </w:r>
      <w:r>
        <w:rPr>
          <w:rFonts w:hint="eastAsia" w:ascii="仿宋_GB2312" w:eastAsia="仿宋_GB2312"/>
          <w:sz w:val="32"/>
          <w:szCs w:val="32"/>
        </w:rPr>
        <w:t>%。其中涉及</w:t>
      </w:r>
      <w:r>
        <w:rPr>
          <w:rFonts w:hint="eastAsia" w:ascii="仿宋_GB2312" w:eastAsia="仿宋_GB2312"/>
          <w:b/>
          <w:bCs/>
          <w:sz w:val="32"/>
          <w:szCs w:val="32"/>
        </w:rPr>
        <w:t>煤炭行业</w:t>
      </w:r>
      <w:r>
        <w:rPr>
          <w:rFonts w:hint="eastAsia" w:ascii="仿宋_GB2312" w:eastAsia="仿宋_GB2312"/>
          <w:sz w:val="32"/>
          <w:szCs w:val="32"/>
        </w:rPr>
        <w:t>的主要内容是咨询煤炭相关产业政策、查询煤矿项目信息等方面。</w:t>
      </w:r>
    </w:p>
    <w:p>
      <w:pPr>
        <w:widowControl/>
        <w:snapToGrid w:val="0"/>
        <w:spacing w:line="360" w:lineRule="exact"/>
        <w:jc w:val="both"/>
        <w:rPr>
          <w:rFonts w:ascii="宋体" w:cs="宋体"/>
          <w:b/>
          <w:color w:val="000000"/>
          <w:kern w:val="0"/>
          <w:sz w:val="32"/>
          <w:szCs w:val="32"/>
        </w:rPr>
      </w:pPr>
    </w:p>
    <w:p>
      <w:pPr>
        <w:widowControl/>
        <w:snapToGrid w:val="0"/>
        <w:spacing w:line="360" w:lineRule="auto"/>
        <w:jc w:val="center"/>
        <w:rPr>
          <w:rFonts w:ascii="宋体" w:cs="宋体"/>
          <w:b/>
          <w:color w:val="000000"/>
          <w:kern w:val="0"/>
          <w:sz w:val="30"/>
          <w:szCs w:val="32"/>
        </w:rPr>
      </w:pPr>
      <w:r>
        <w:rPr>
          <w:rFonts w:hint="eastAsia" w:ascii="宋体" w:hAnsi="宋体" w:cs="宋体"/>
          <w:b/>
          <w:color w:val="000000"/>
          <w:kern w:val="0"/>
          <w:sz w:val="30"/>
          <w:szCs w:val="32"/>
        </w:rPr>
        <w:t>表二</w:t>
      </w:r>
      <w:r>
        <w:rPr>
          <w:rFonts w:ascii="宋体" w:hAnsi="宋体" w:cs="宋体"/>
          <w:b/>
          <w:color w:val="000000"/>
          <w:kern w:val="0"/>
          <w:sz w:val="30"/>
          <w:szCs w:val="32"/>
        </w:rPr>
        <w:t xml:space="preserve">  </w:t>
      </w:r>
      <w:r>
        <w:rPr>
          <w:rFonts w:ascii="仿宋_GB2312" w:eastAsia="仿宋_GB2312"/>
          <w:color w:val="000000"/>
          <w:sz w:val="32"/>
        </w:rPr>
        <w:t>2020</w:t>
      </w:r>
      <w:r>
        <w:rPr>
          <w:rFonts w:hint="eastAsia" w:ascii="仿宋_GB2312" w:eastAsia="仿宋_GB2312"/>
          <w:color w:val="000000"/>
          <w:sz w:val="32"/>
        </w:rPr>
        <w:t>年</w:t>
      </w:r>
      <w:r>
        <w:rPr>
          <w:rFonts w:ascii="仿宋_GB2312" w:eastAsia="仿宋_GB2312"/>
          <w:color w:val="000000"/>
          <w:sz w:val="32"/>
        </w:rPr>
        <w:t>1</w:t>
      </w:r>
      <w:r>
        <w:rPr>
          <w:rFonts w:hint="eastAsia" w:ascii="仿宋_GB2312" w:eastAsia="仿宋_GB2312"/>
          <w:color w:val="000000"/>
          <w:sz w:val="32"/>
        </w:rPr>
        <w:t>月</w:t>
      </w:r>
      <w:r>
        <w:rPr>
          <w:rFonts w:ascii="宋体" w:hAnsi="宋体" w:cs="宋体"/>
          <w:b/>
          <w:kern w:val="0"/>
          <w:sz w:val="30"/>
          <w:szCs w:val="32"/>
        </w:rPr>
        <w:t>电力行业</w:t>
      </w:r>
      <w:r>
        <w:rPr>
          <w:rFonts w:hint="eastAsia" w:ascii="宋体" w:hAnsi="宋体" w:cs="宋体"/>
          <w:b/>
          <w:color w:val="000000"/>
          <w:kern w:val="0"/>
          <w:sz w:val="30"/>
          <w:szCs w:val="32"/>
        </w:rPr>
        <w:t>有效信息按业务分类情况</w:t>
      </w:r>
    </w:p>
    <w:p>
      <w:pPr>
        <w:widowControl/>
        <w:snapToGrid w:val="0"/>
        <w:jc w:val="right"/>
        <w:rPr>
          <w:rFonts w:ascii="宋体" w:cs="宋体"/>
          <w:b/>
          <w:color w:val="000000"/>
          <w:kern w:val="0"/>
          <w:sz w:val="30"/>
          <w:szCs w:val="32"/>
        </w:rPr>
      </w:pPr>
      <w:r>
        <w:rPr>
          <w:rFonts w:hint="eastAsia" w:ascii="宋体" w:hAnsi="宋体" w:cs="宋体"/>
          <w:color w:val="000000"/>
          <w:kern w:val="0"/>
          <w:sz w:val="24"/>
          <w:szCs w:val="28"/>
        </w:rPr>
        <w:t>单位：件</w:t>
      </w:r>
    </w:p>
    <w:tbl>
      <w:tblPr>
        <w:tblStyle w:val="6"/>
        <w:tblW w:w="0" w:type="auto"/>
        <w:jc w:val="center"/>
        <w:tblCellSpacing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
        <w:gridCol w:w="2666"/>
        <w:gridCol w:w="67"/>
        <w:gridCol w:w="1132"/>
        <w:gridCol w:w="63"/>
        <w:gridCol w:w="1175"/>
        <w:gridCol w:w="50"/>
        <w:gridCol w:w="1285"/>
        <w:gridCol w:w="59"/>
        <w:gridCol w:w="1111"/>
        <w:gridCol w:w="54"/>
        <w:gridCol w:w="1215"/>
        <w:gridCol w:w="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 w:type="dxa"/>
          <w:trHeight w:val="510" w:hRule="atLeast"/>
          <w:tblCellSpacing w:w="20" w:type="dxa"/>
          <w:jc w:val="center"/>
        </w:trPr>
        <w:tc>
          <w:tcPr>
            <w:tcW w:w="2736"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业务类别</w:t>
            </w:r>
          </w:p>
        </w:tc>
        <w:tc>
          <w:tcPr>
            <w:tcW w:w="1199"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投诉</w:t>
            </w:r>
          </w:p>
        </w:tc>
        <w:tc>
          <w:tcPr>
            <w:tcW w:w="1238"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举报</w:t>
            </w:r>
          </w:p>
        </w:tc>
        <w:tc>
          <w:tcPr>
            <w:tcW w:w="1335"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咨询</w:t>
            </w:r>
          </w:p>
        </w:tc>
        <w:tc>
          <w:tcPr>
            <w:tcW w:w="1170"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1269"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规划和政策</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审批事项取消和下放</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项目建设</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电力交易</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电力安全</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6</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市场准入</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9</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供电服务</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15</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88</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18</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成本价格和收费</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22</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其他</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合计</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17</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147</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184</w:t>
            </w:r>
          </w:p>
        </w:tc>
      </w:tr>
    </w:tbl>
    <w:p>
      <w:pPr>
        <w:spacing w:line="560" w:lineRule="exact"/>
        <w:rPr>
          <w:rFonts w:ascii="楷体_GB2312" w:eastAsia="楷体_GB2312"/>
          <w:color w:val="000000"/>
          <w:sz w:val="32"/>
        </w:rPr>
      </w:pPr>
      <w:bookmarkStart w:id="0" w:name="table1"/>
      <w:bookmarkEnd w:id="0"/>
    </w:p>
    <w:p>
      <w:pPr>
        <w:tabs>
          <w:tab w:val="left" w:pos="3668"/>
        </w:tabs>
        <w:spacing w:line="560" w:lineRule="exact"/>
        <w:ind w:firstLine="640" w:firstLineChars="200"/>
        <w:rPr>
          <w:rFonts w:hint="eastAsia" w:ascii="黑体" w:hAnsi="黑体" w:eastAsia="黑体" w:cs="黑体"/>
          <w:color w:val="000000"/>
          <w:sz w:val="32"/>
        </w:rPr>
      </w:pPr>
      <w:r>
        <w:rPr>
          <w:rFonts w:hint="eastAsia" w:ascii="黑体" w:hAnsi="黑体" w:eastAsia="黑体" w:cs="黑体"/>
          <w:color w:val="000000"/>
          <w:sz w:val="32"/>
        </w:rPr>
        <w:t>三</w:t>
      </w:r>
      <w:r>
        <w:rPr>
          <w:rFonts w:hint="eastAsia" w:ascii="黑体" w:hAnsi="黑体" w:eastAsia="黑体" w:cs="黑体"/>
          <w:color w:val="000000"/>
          <w:sz w:val="32"/>
          <w:lang w:eastAsia="zh-CN"/>
        </w:rPr>
        <w:t>、</w:t>
      </w:r>
      <w:r>
        <w:rPr>
          <w:rFonts w:hint="eastAsia" w:ascii="黑体" w:hAnsi="黑体" w:eastAsia="黑体" w:cs="黑体"/>
          <w:color w:val="000000"/>
          <w:sz w:val="32"/>
        </w:rPr>
        <w:t>分布情况</w:t>
      </w:r>
    </w:p>
    <w:p>
      <w:pPr>
        <w:spacing w:line="560" w:lineRule="exact"/>
        <w:ind w:firstLine="640" w:firstLineChars="200"/>
        <w:rPr>
          <w:rFonts w:ascii="仿宋_GB2312" w:eastAsia="仿宋_GB2312"/>
          <w:sz w:val="32"/>
        </w:rPr>
      </w:pPr>
      <w:r>
        <w:rPr>
          <w:rFonts w:hint="eastAsia" w:ascii="仿宋_GB2312" w:eastAsia="仿宋_GB2312"/>
          <w:sz w:val="32"/>
        </w:rPr>
        <w:t>各地市按照</w:t>
      </w:r>
      <w:r>
        <w:rPr>
          <w:rFonts w:hint="eastAsia" w:ascii="仿宋_GB2312" w:eastAsia="仿宋_GB2312"/>
          <w:color w:val="000000"/>
          <w:sz w:val="32"/>
        </w:rPr>
        <w:t>收到的有效信息数量排序</w:t>
      </w:r>
      <w:r>
        <w:rPr>
          <w:rFonts w:hint="eastAsia" w:ascii="仿宋_GB2312" w:eastAsia="仿宋_GB2312"/>
          <w:sz w:val="32"/>
        </w:rPr>
        <w:t>，</w:t>
      </w:r>
      <w:r>
        <w:rPr>
          <w:rFonts w:hint="eastAsia" w:ascii="仿宋_GB2312" w:eastAsia="仿宋_GB2312"/>
          <w:color w:val="000000"/>
          <w:sz w:val="32"/>
        </w:rPr>
        <w:t>吕梁市、太原市、临汾市、运城市、长治市等</w:t>
      </w:r>
      <w:r>
        <w:rPr>
          <w:rFonts w:hint="eastAsia" w:ascii="仿宋_GB2312" w:eastAsia="仿宋_GB2312"/>
          <w:sz w:val="32"/>
        </w:rPr>
        <w:t>列辖区内前</w:t>
      </w:r>
      <w:r>
        <w:rPr>
          <w:rFonts w:hint="eastAsia" w:ascii="仿宋_GB2312" w:eastAsia="仿宋_GB2312"/>
          <w:sz w:val="32"/>
          <w:lang w:val="en-US" w:eastAsia="zh-CN"/>
        </w:rPr>
        <w:t>5</w:t>
      </w:r>
      <w:r>
        <w:rPr>
          <w:rFonts w:hint="eastAsia" w:ascii="仿宋_GB2312" w:eastAsia="仿宋_GB2312"/>
          <w:sz w:val="32"/>
        </w:rPr>
        <w:t>位；</w:t>
      </w:r>
      <w:r>
        <w:rPr>
          <w:rFonts w:hint="eastAsia" w:ascii="仿宋_GB2312" w:eastAsia="仿宋_GB2312"/>
          <w:color w:val="000000"/>
          <w:sz w:val="32"/>
        </w:rPr>
        <w:t>按照投诉举报数量排序，吕梁市、朔州市、阳泉市、临汾市、忻州市等</w:t>
      </w:r>
      <w:r>
        <w:rPr>
          <w:rFonts w:hint="eastAsia" w:ascii="仿宋_GB2312" w:eastAsia="仿宋_GB2312"/>
          <w:sz w:val="32"/>
        </w:rPr>
        <w:t>排在辖区内前</w:t>
      </w:r>
      <w:r>
        <w:rPr>
          <w:rFonts w:hint="eastAsia" w:ascii="仿宋_GB2312" w:eastAsia="仿宋_GB2312"/>
          <w:sz w:val="32"/>
          <w:lang w:val="en-US" w:eastAsia="zh-CN"/>
        </w:rPr>
        <w:t>5</w:t>
      </w:r>
      <w:r>
        <w:rPr>
          <w:rFonts w:hint="eastAsia" w:ascii="仿宋_GB2312" w:eastAsia="仿宋_GB2312"/>
          <w:sz w:val="32"/>
        </w:rPr>
        <w:t>位。（2020年1月有效信息及投诉举报排名前</w:t>
      </w:r>
      <w:r>
        <w:rPr>
          <w:rFonts w:hint="eastAsia" w:ascii="仿宋_GB2312" w:eastAsia="仿宋_GB2312"/>
          <w:sz w:val="32"/>
          <w:lang w:val="en-US" w:eastAsia="zh-CN"/>
        </w:rPr>
        <w:t>5</w:t>
      </w:r>
      <w:r>
        <w:rPr>
          <w:rFonts w:hint="eastAsia" w:ascii="仿宋_GB2312" w:eastAsia="仿宋_GB2312"/>
          <w:sz w:val="32"/>
        </w:rPr>
        <w:t>位情况见表三）</w:t>
      </w:r>
    </w:p>
    <w:p>
      <w:pPr>
        <w:widowControl/>
        <w:snapToGrid w:val="0"/>
        <w:spacing w:before="120" w:beforeLines="50"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表三 </w:t>
      </w:r>
      <w:r>
        <w:rPr>
          <w:rFonts w:hint="eastAsia" w:ascii="仿宋_GB2312" w:eastAsia="仿宋_GB2312"/>
          <w:color w:val="000000"/>
          <w:sz w:val="32"/>
        </w:rPr>
        <w:t>2020年1月</w:t>
      </w:r>
      <w:r>
        <w:rPr>
          <w:rFonts w:hint="eastAsia" w:ascii="宋体" w:hAnsi="宋体" w:cs="宋体"/>
          <w:b/>
          <w:color w:val="000000"/>
          <w:kern w:val="0"/>
          <w:sz w:val="30"/>
          <w:szCs w:val="32"/>
        </w:rPr>
        <w:t>有效信息及投诉举报排名前</w:t>
      </w:r>
      <w:r>
        <w:rPr>
          <w:rFonts w:hint="eastAsia" w:ascii="宋体" w:hAnsi="宋体" w:cs="宋体"/>
          <w:b/>
          <w:color w:val="000000"/>
          <w:kern w:val="0"/>
          <w:sz w:val="30"/>
          <w:szCs w:val="32"/>
          <w:lang w:val="en-US" w:eastAsia="zh-CN"/>
        </w:rPr>
        <w:t>5</w:t>
      </w:r>
      <w:r>
        <w:rPr>
          <w:rFonts w:hint="eastAsia" w:ascii="宋体" w:hAnsi="宋体" w:cs="宋体"/>
          <w:b/>
          <w:color w:val="000000"/>
          <w:kern w:val="0"/>
          <w:sz w:val="30"/>
          <w:szCs w:val="32"/>
        </w:rPr>
        <w:t>位情况</w:t>
      </w:r>
    </w:p>
    <w:p>
      <w:pPr>
        <w:widowControl/>
        <w:snapToGrid w:val="0"/>
        <w:spacing w:line="360" w:lineRule="exact"/>
        <w:jc w:val="center"/>
        <w:rPr>
          <w:rFonts w:ascii="宋体" w:hAnsi="宋体" w:cs="宋体"/>
          <w:color w:val="000000"/>
          <w:kern w:val="0"/>
          <w:sz w:val="24"/>
          <w:szCs w:val="28"/>
        </w:rPr>
      </w:pPr>
      <w:r>
        <w:rPr>
          <w:rFonts w:hint="eastAsia" w:ascii="宋体" w:hAnsi="宋体" w:cs="宋体"/>
          <w:color w:val="000000"/>
          <w:kern w:val="0"/>
          <w:sz w:val="24"/>
          <w:szCs w:val="28"/>
          <w:lang w:val="en-US" w:eastAsia="zh-CN"/>
        </w:rPr>
        <w:t xml:space="preserve">                                          </w:t>
      </w:r>
      <w:r>
        <w:rPr>
          <w:rFonts w:hint="eastAsia" w:ascii="宋体" w:hAnsi="宋体" w:cs="宋体"/>
          <w:color w:val="000000"/>
          <w:kern w:val="0"/>
          <w:sz w:val="24"/>
          <w:szCs w:val="28"/>
        </w:rPr>
        <w:t>单位：</w:t>
      </w:r>
      <w:r>
        <w:rPr>
          <w:rFonts w:hint="eastAsia" w:ascii="宋体" w:hAnsi="宋体" w:cs="宋体"/>
          <w:color w:val="000000"/>
          <w:kern w:val="0"/>
          <w:sz w:val="24"/>
          <w:szCs w:val="24"/>
        </w:rPr>
        <w:t>件</w:t>
      </w:r>
    </w:p>
    <w:tbl>
      <w:tblPr>
        <w:tblStyle w:val="6"/>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1470"/>
        <w:gridCol w:w="210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排序</w:t>
            </w:r>
          </w:p>
        </w:tc>
        <w:tc>
          <w:tcPr>
            <w:tcW w:w="3465" w:type="dxa"/>
            <w:gridSpan w:val="2"/>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接收有效信息</w:t>
            </w:r>
          </w:p>
        </w:tc>
        <w:tc>
          <w:tcPr>
            <w:tcW w:w="3915" w:type="dxa"/>
            <w:gridSpan w:val="2"/>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接收投诉举报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45" w:type="dxa"/>
            <w:vMerge w:val="continue"/>
            <w:vAlign w:val="center"/>
          </w:tcPr>
          <w:p>
            <w:pPr>
              <w:spacing w:line="560" w:lineRule="exact"/>
              <w:jc w:val="center"/>
            </w:pPr>
          </w:p>
        </w:tc>
        <w:tc>
          <w:tcPr>
            <w:tcW w:w="1995" w:type="dxa"/>
            <w:vAlign w:val="center"/>
          </w:tcPr>
          <w:p>
            <w:pPr>
              <w:spacing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地市</w:t>
            </w:r>
          </w:p>
        </w:tc>
        <w:tc>
          <w:tcPr>
            <w:tcW w:w="1470" w:type="dxa"/>
            <w:vAlign w:val="center"/>
          </w:tcPr>
          <w:p>
            <w:pPr>
              <w:spacing w:line="560" w:lineRule="exact"/>
              <w:jc w:val="center"/>
              <w:rPr>
                <w:rFonts w:hint="eastAsia" w:ascii="宋体" w:hAnsi="宋体" w:eastAsia="宋体" w:cs="宋体"/>
                <w:color w:val="000000"/>
                <w:sz w:val="21"/>
                <w:szCs w:val="21"/>
              </w:rPr>
            </w:pPr>
            <w:r>
              <w:rPr>
                <w:rFonts w:hint="eastAsia" w:ascii="宋体" w:hAnsi="宋体" w:eastAsia="宋体" w:cs="宋体"/>
                <w:b w:val="0"/>
                <w:bCs w:val="0"/>
                <w:color w:val="000000"/>
                <w:kern w:val="0"/>
                <w:sz w:val="21"/>
                <w:szCs w:val="21"/>
              </w:rPr>
              <w:t>数量</w:t>
            </w:r>
          </w:p>
        </w:tc>
        <w:tc>
          <w:tcPr>
            <w:tcW w:w="2100" w:type="dxa"/>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地市</w:t>
            </w:r>
          </w:p>
        </w:tc>
        <w:tc>
          <w:tcPr>
            <w:tcW w:w="1815" w:type="dxa"/>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1</w:t>
            </w:r>
          </w:p>
        </w:tc>
        <w:tc>
          <w:tcPr>
            <w:tcW w:w="199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47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51</w:t>
            </w:r>
          </w:p>
        </w:tc>
        <w:tc>
          <w:tcPr>
            <w:tcW w:w="2100" w:type="dxa"/>
            <w:vAlign w:val="center"/>
          </w:tcPr>
          <w:p>
            <w:pPr>
              <w:spacing w:line="560" w:lineRule="exact"/>
              <w:jc w:val="center"/>
              <w:rPr>
                <w:rFonts w:hint="eastAsia" w:ascii="黑体" w:eastAsia="黑体"/>
                <w:color w:val="000000"/>
                <w:sz w:val="32"/>
              </w:rPr>
            </w:pPr>
            <w:r>
              <w:rPr>
                <w:rFonts w:hint="eastAsia" w:ascii="仿宋_GB2312" w:hAnsi="宋体" w:eastAsia="仿宋_GB2312" w:cs="仿宋_GB2312"/>
                <w:sz w:val="24"/>
                <w:szCs w:val="24"/>
                <w:lang w:val="en-US" w:eastAsia="zh-CN"/>
              </w:rPr>
              <w:t>朔州</w:t>
            </w:r>
            <w:r>
              <w:rPr>
                <w:rFonts w:ascii="仿宋_GB2312" w:hAnsi="宋体" w:eastAsia="仿宋_GB2312" w:cs="仿宋_GB2312"/>
                <w:sz w:val="24"/>
                <w:szCs w:val="24"/>
              </w:rPr>
              <w:t>市</w:t>
            </w:r>
          </w:p>
        </w:tc>
        <w:tc>
          <w:tcPr>
            <w:tcW w:w="1815" w:type="dxa"/>
            <w:vAlign w:val="center"/>
          </w:tcPr>
          <w:p>
            <w:pPr>
              <w:spacing w:line="560" w:lineRule="exact"/>
              <w:jc w:val="center"/>
              <w:rPr>
                <w:rFonts w:hint="eastAsia" w:ascii="黑体" w:eastAsia="黑体"/>
                <w:color w:val="000000"/>
                <w:sz w:val="32"/>
                <w:lang w:val="en-US" w:eastAsia="zh-CN"/>
              </w:rPr>
            </w:pPr>
            <w:r>
              <w:rPr>
                <w:rFonts w:hint="eastAsia" w:ascii="黑体" w:eastAsia="黑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continue"/>
            <w:vAlign w:val="center"/>
          </w:tcPr>
          <w:p>
            <w:pPr>
              <w:spacing w:line="560" w:lineRule="exact"/>
              <w:jc w:val="center"/>
            </w:pPr>
          </w:p>
        </w:tc>
        <w:tc>
          <w:tcPr>
            <w:tcW w:w="1995"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其中:地电区域</w:t>
            </w:r>
          </w:p>
        </w:tc>
        <w:tc>
          <w:tcPr>
            <w:tcW w:w="1470"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48</w:t>
            </w:r>
          </w:p>
        </w:tc>
        <w:tc>
          <w:tcPr>
            <w:tcW w:w="210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其中:地电区域</w:t>
            </w:r>
          </w:p>
        </w:tc>
        <w:tc>
          <w:tcPr>
            <w:tcW w:w="1815"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2</w:t>
            </w:r>
          </w:p>
        </w:tc>
        <w:tc>
          <w:tcPr>
            <w:tcW w:w="199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47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42</w:t>
            </w:r>
          </w:p>
        </w:tc>
        <w:tc>
          <w:tcPr>
            <w:tcW w:w="2100" w:type="dxa"/>
            <w:vMerge w:val="restart"/>
            <w:vAlign w:val="center"/>
          </w:tcPr>
          <w:p>
            <w:pPr>
              <w:spacing w:line="5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lang w:val="en-US" w:eastAsia="zh-CN"/>
              </w:rPr>
              <w:t>太原</w:t>
            </w:r>
            <w:r>
              <w:rPr>
                <w:rFonts w:ascii="仿宋_GB2312" w:hAnsi="宋体" w:eastAsia="仿宋_GB2312" w:cs="仿宋_GB2312"/>
                <w:sz w:val="24"/>
                <w:szCs w:val="24"/>
              </w:rPr>
              <w:t>市</w:t>
            </w:r>
          </w:p>
        </w:tc>
        <w:tc>
          <w:tcPr>
            <w:tcW w:w="181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3</w:t>
            </w:r>
          </w:p>
        </w:tc>
        <w:tc>
          <w:tcPr>
            <w:tcW w:w="199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47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40</w:t>
            </w:r>
          </w:p>
        </w:tc>
        <w:tc>
          <w:tcPr>
            <w:tcW w:w="210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阳泉市</w:t>
            </w:r>
          </w:p>
        </w:tc>
        <w:tc>
          <w:tcPr>
            <w:tcW w:w="181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continue"/>
            <w:vAlign w:val="center"/>
          </w:tcPr>
          <w:p>
            <w:pPr>
              <w:spacing w:line="560" w:lineRule="exact"/>
              <w:jc w:val="center"/>
            </w:pPr>
          </w:p>
        </w:tc>
        <w:tc>
          <w:tcPr>
            <w:tcW w:w="1995" w:type="dxa"/>
            <w:vAlign w:val="center"/>
          </w:tcPr>
          <w:p>
            <w:pPr>
              <w:spacing w:line="5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lang w:val="en-US" w:eastAsia="zh-CN"/>
              </w:rPr>
              <w:t>其中:地电区域</w:t>
            </w:r>
          </w:p>
        </w:tc>
        <w:tc>
          <w:tcPr>
            <w:tcW w:w="1470"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11</w:t>
            </w:r>
          </w:p>
        </w:tc>
        <w:tc>
          <w:tcPr>
            <w:tcW w:w="2100" w:type="dxa"/>
            <w:vMerge w:val="continue"/>
            <w:vAlign w:val="center"/>
          </w:tcPr>
          <w:p>
            <w:pPr>
              <w:spacing w:line="560" w:lineRule="exact"/>
              <w:jc w:val="center"/>
              <w:rPr>
                <w:rFonts w:ascii="仿宋_GB2312" w:hAnsi="宋体" w:eastAsia="仿宋_GB2312" w:cs="仿宋_GB2312"/>
                <w:sz w:val="24"/>
                <w:szCs w:val="24"/>
              </w:rPr>
            </w:pPr>
          </w:p>
        </w:tc>
        <w:tc>
          <w:tcPr>
            <w:tcW w:w="1815" w:type="dxa"/>
            <w:vMerge w:val="continue"/>
            <w:vAlign w:val="center"/>
          </w:tcPr>
          <w:p>
            <w:pPr>
              <w:spacing w:line="56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45"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4</w:t>
            </w:r>
          </w:p>
        </w:tc>
        <w:tc>
          <w:tcPr>
            <w:tcW w:w="199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运城市</w:t>
            </w:r>
          </w:p>
        </w:tc>
        <w:tc>
          <w:tcPr>
            <w:tcW w:w="147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30</w:t>
            </w:r>
          </w:p>
        </w:tc>
        <w:tc>
          <w:tcPr>
            <w:tcW w:w="21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忻州市</w:t>
            </w:r>
          </w:p>
        </w:tc>
        <w:tc>
          <w:tcPr>
            <w:tcW w:w="1815" w:type="dxa"/>
            <w:vAlign w:val="center"/>
          </w:tcPr>
          <w:p>
            <w:pPr>
              <w:spacing w:line="560" w:lineRule="exact"/>
              <w:jc w:val="center"/>
              <w:rPr>
                <w:rFonts w:hint="eastAsia" w:ascii="黑体" w:eastAsia="黑体"/>
                <w:color w:val="000000"/>
                <w:sz w:val="32"/>
                <w:lang w:val="en-US" w:eastAsia="zh-CN"/>
              </w:rPr>
            </w:pPr>
            <w:r>
              <w:rPr>
                <w:rFonts w:hint="eastAsia" w:ascii="黑体" w:eastAsia="黑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5</w:t>
            </w:r>
          </w:p>
        </w:tc>
        <w:tc>
          <w:tcPr>
            <w:tcW w:w="199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长治市</w:t>
            </w:r>
          </w:p>
        </w:tc>
        <w:tc>
          <w:tcPr>
            <w:tcW w:w="147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26</w:t>
            </w:r>
          </w:p>
        </w:tc>
        <w:tc>
          <w:tcPr>
            <w:tcW w:w="21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81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45" w:type="dxa"/>
            <w:vMerge w:val="continue"/>
            <w:vAlign w:val="center"/>
          </w:tcPr>
          <w:p>
            <w:pPr>
              <w:spacing w:line="560" w:lineRule="exact"/>
              <w:jc w:val="center"/>
            </w:pPr>
          </w:p>
        </w:tc>
        <w:tc>
          <w:tcPr>
            <w:tcW w:w="1995" w:type="dxa"/>
            <w:vMerge w:val="continue"/>
            <w:vAlign w:val="center"/>
          </w:tcPr>
          <w:p>
            <w:pPr>
              <w:spacing w:line="560" w:lineRule="exact"/>
              <w:jc w:val="center"/>
            </w:pPr>
          </w:p>
        </w:tc>
        <w:tc>
          <w:tcPr>
            <w:tcW w:w="1470" w:type="dxa"/>
            <w:vMerge w:val="continue"/>
            <w:vAlign w:val="center"/>
          </w:tcPr>
          <w:p>
            <w:pPr>
              <w:spacing w:line="560" w:lineRule="exact"/>
              <w:jc w:val="center"/>
            </w:pPr>
          </w:p>
        </w:tc>
        <w:tc>
          <w:tcPr>
            <w:tcW w:w="2100" w:type="dxa"/>
            <w:vAlign w:val="center"/>
          </w:tcPr>
          <w:p>
            <w:pPr>
              <w:spacing w:line="5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lang w:val="en-US" w:eastAsia="zh-CN"/>
              </w:rPr>
              <w:t>其中:地电区域</w:t>
            </w:r>
          </w:p>
        </w:tc>
        <w:tc>
          <w:tcPr>
            <w:tcW w:w="1815"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bl>
    <w:p>
      <w:pPr>
        <w:spacing w:line="560" w:lineRule="exact"/>
        <w:rPr>
          <w:rFonts w:hint="eastAsia" w:ascii="黑体" w:eastAsia="黑体"/>
          <w:color w:val="000000"/>
          <w:sz w:val="32"/>
        </w:rPr>
      </w:pPr>
    </w:p>
    <w:p>
      <w:pPr>
        <w:spacing w:line="560" w:lineRule="exact"/>
        <w:ind w:firstLine="640" w:firstLineChars="200"/>
        <w:rPr>
          <w:rFonts w:ascii="黑体" w:eastAsia="黑体"/>
          <w:color w:val="000000"/>
          <w:sz w:val="32"/>
        </w:rPr>
      </w:pPr>
      <w:r>
        <w:rPr>
          <w:rFonts w:hint="eastAsia" w:ascii="黑体" w:eastAsia="黑体"/>
          <w:color w:val="000000"/>
          <w:sz w:val="32"/>
          <w:lang w:val="en-US" w:eastAsia="zh-CN"/>
        </w:rPr>
        <w:t>四</w:t>
      </w:r>
      <w:r>
        <w:rPr>
          <w:rFonts w:hint="eastAsia" w:ascii="黑体" w:eastAsia="黑体"/>
          <w:color w:val="000000"/>
          <w:sz w:val="32"/>
        </w:rPr>
        <w:t>、主要问题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（一）主要问题</w:t>
      </w:r>
    </w:p>
    <w:p>
      <w:pPr>
        <w:widowControl/>
        <w:shd w:val="clear" w:color="auto" w:fill="FFFFFF"/>
        <w:spacing w:before="225" w:line="45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投诉举报反映的问题主要集中在电力行业，其次是新能源和可再生能源行业。</w:t>
      </w:r>
    </w:p>
    <w:p>
      <w:pPr>
        <w:keepNext w:val="0"/>
        <w:keepLines w:val="0"/>
        <w:pageBreakBefore w:val="0"/>
        <w:widowControl/>
        <w:shd w:val="clear" w:color="auto" w:fill="FFFFFF"/>
        <w:kinsoku/>
        <w:wordWrap/>
        <w:overflowPunct/>
        <w:topLinePunct w:val="0"/>
        <w:autoSpaceDE/>
        <w:autoSpaceDN/>
        <w:bidi w:val="0"/>
        <w:adjustRightInd/>
        <w:snapToGrid/>
        <w:spacing w:before="225" w:line="560" w:lineRule="exact"/>
        <w:jc w:val="left"/>
        <w:textAlignment w:val="auto"/>
        <w:rPr>
          <w:rFonts w:hint="default" w:ascii="仿宋" w:hAnsi="仿宋" w:eastAsia="仿宋" w:cs="仿宋"/>
          <w:color w:val="000000"/>
          <w:kern w:val="0"/>
          <w:sz w:val="32"/>
          <w:szCs w:val="32"/>
          <w:lang w:val="en-US" w:eastAsia="zh-CN"/>
        </w:rPr>
      </w:pPr>
      <w:r>
        <w:rPr>
          <w:rFonts w:hint="eastAsia" w:ascii="宋体" w:hAnsi="宋体" w:cs="宋体"/>
          <w:color w:val="000000"/>
          <w:kern w:val="0"/>
          <w:sz w:val="32"/>
          <w:szCs w:val="32"/>
          <w:shd w:val="clear" w:color="auto" w:fill="FFFFFF"/>
        </w:rPr>
        <w:t>  </w:t>
      </w:r>
      <w:r>
        <w:rPr>
          <w:rFonts w:hint="eastAsia" w:ascii="仿宋" w:hAnsi="仿宋" w:eastAsia="仿宋" w:cs="仿宋"/>
          <w:color w:val="000000"/>
          <w:kern w:val="0"/>
          <w:sz w:val="32"/>
          <w:szCs w:val="32"/>
          <w:shd w:val="clear" w:color="auto" w:fill="FFFFFF"/>
        </w:rPr>
        <w:t>电力行业在供电服务、成本价格及收费、电力安全等方面反映的问题</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一是部分地区“两率”水平较低，影响群众正常生产生活</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如忻州市静乐县粮苑小区用户反映每年除夕夜频繁停电</w:t>
      </w:r>
      <w:r>
        <w:rPr>
          <w:rFonts w:hint="eastAsia" w:ascii="仿宋" w:hAnsi="仿宋" w:eastAsia="仿宋" w:cs="仿宋"/>
          <w:color w:val="000000"/>
          <w:kern w:val="0"/>
          <w:sz w:val="32"/>
          <w:szCs w:val="32"/>
          <w:shd w:val="clear" w:color="auto" w:fill="FFFFFF"/>
        </w:rPr>
        <w:t>；二是部分</w:t>
      </w:r>
      <w:r>
        <w:rPr>
          <w:rFonts w:hint="eastAsia" w:ascii="仿宋" w:hAnsi="仿宋" w:eastAsia="仿宋" w:cs="仿宋"/>
          <w:color w:val="000000"/>
          <w:kern w:val="0"/>
          <w:sz w:val="32"/>
          <w:szCs w:val="32"/>
          <w:shd w:val="clear" w:color="auto" w:fill="FFFFFF"/>
          <w:lang w:val="en-US" w:eastAsia="zh-CN"/>
        </w:rPr>
        <w:t>用户</w:t>
      </w:r>
      <w:r>
        <w:rPr>
          <w:rFonts w:hint="eastAsia" w:ascii="仿宋" w:hAnsi="仿宋" w:eastAsia="仿宋" w:cs="仿宋"/>
          <w:color w:val="000000"/>
          <w:kern w:val="0"/>
          <w:sz w:val="32"/>
          <w:szCs w:val="32"/>
          <w:shd w:val="clear" w:color="auto" w:fill="FFFFFF"/>
        </w:rPr>
        <w:t>停电时间较长、抢修不及时</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如：朔州市平鲁区供电公司因配网抢修值班员延误导致井坪镇麻黄头村用户家工业用电未能及时抢修恢复</w:t>
      </w:r>
      <w:r>
        <w:rPr>
          <w:rFonts w:hint="eastAsia" w:ascii="仿宋" w:hAnsi="仿宋" w:eastAsia="仿宋" w:cs="仿宋"/>
          <w:color w:val="000000"/>
          <w:kern w:val="0"/>
          <w:sz w:val="32"/>
          <w:szCs w:val="32"/>
          <w:shd w:val="clear" w:color="auto" w:fill="FFFFFF"/>
        </w:rPr>
        <w:t>；三是部分供电企业工作人员由于服务不到位，影响群众正常用电</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如：临汾市蒲县城区营业厅工作人员上班时间未及时到岗影响用户用电交费</w:t>
      </w:r>
      <w:r>
        <w:rPr>
          <w:rFonts w:hint="eastAsia" w:ascii="仿宋" w:hAnsi="仿宋" w:eastAsia="仿宋" w:cs="仿宋"/>
          <w:color w:val="000000"/>
          <w:kern w:val="0"/>
          <w:sz w:val="32"/>
          <w:szCs w:val="32"/>
          <w:shd w:val="clear" w:color="auto" w:fill="FFFFFF"/>
        </w:rPr>
        <w:t>；四是个别电力设施设备</w:t>
      </w:r>
      <w:r>
        <w:rPr>
          <w:rFonts w:hint="eastAsia" w:ascii="仿宋" w:hAnsi="仿宋" w:eastAsia="仿宋" w:cs="仿宋"/>
          <w:color w:val="000000"/>
          <w:kern w:val="0"/>
          <w:sz w:val="32"/>
          <w:szCs w:val="32"/>
          <w:shd w:val="clear" w:color="auto" w:fill="FFFFFF"/>
          <w:lang w:val="en-US" w:eastAsia="zh-CN"/>
        </w:rPr>
        <w:t>老化严重</w:t>
      </w:r>
      <w:r>
        <w:rPr>
          <w:rFonts w:hint="eastAsia" w:ascii="仿宋" w:hAnsi="仿宋" w:eastAsia="仿宋" w:cs="仿宋"/>
          <w:color w:val="000000"/>
          <w:kern w:val="0"/>
          <w:sz w:val="32"/>
          <w:szCs w:val="32"/>
          <w:shd w:val="clear" w:color="auto" w:fill="FFFFFF"/>
        </w:rPr>
        <w:t>，存在安全隐患。</w:t>
      </w:r>
      <w:bookmarkStart w:id="1" w:name="_GoBack"/>
      <w:bookmarkEnd w:id="1"/>
      <w:r>
        <w:rPr>
          <w:rFonts w:hint="eastAsia" w:ascii="仿宋" w:hAnsi="仿宋" w:eastAsia="仿宋" w:cs="仿宋"/>
          <w:color w:val="000000"/>
          <w:kern w:val="0"/>
          <w:sz w:val="32"/>
          <w:szCs w:val="32"/>
          <w:shd w:val="clear" w:color="auto" w:fill="FFFFFF"/>
        </w:rPr>
        <w:t>阳泉市平定县巨城镇会里村</w:t>
      </w:r>
      <w:r>
        <w:rPr>
          <w:rFonts w:hint="eastAsia" w:ascii="仿宋" w:hAnsi="仿宋" w:eastAsia="仿宋" w:cs="仿宋"/>
          <w:color w:val="000000"/>
          <w:kern w:val="0"/>
          <w:sz w:val="32"/>
          <w:szCs w:val="32"/>
          <w:shd w:val="clear" w:color="auto" w:fill="FFFFFF"/>
          <w:lang w:val="en-US" w:eastAsia="zh-CN"/>
        </w:rPr>
        <w:t>用户反映其村电线杆老化，出现裂缝，存在安全隐患。</w:t>
      </w:r>
    </w:p>
    <w:p>
      <w:pPr>
        <w:spacing w:line="60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新能源和可再生能源行业主要反映了部分地区分布式光伏发电项目并网存在困难，</w:t>
      </w:r>
      <w:r>
        <w:rPr>
          <w:rFonts w:hint="eastAsia" w:ascii="仿宋" w:hAnsi="仿宋" w:eastAsia="仿宋" w:cs="仿宋"/>
          <w:color w:val="000000"/>
          <w:sz w:val="32"/>
          <w:szCs w:val="32"/>
          <w:shd w:val="clear" w:color="auto" w:fill="FFFFFF"/>
          <w:lang w:val="en-US" w:eastAsia="zh-CN"/>
        </w:rPr>
        <w:t>补贴</w:t>
      </w:r>
      <w:r>
        <w:rPr>
          <w:rFonts w:hint="eastAsia" w:ascii="仿宋" w:hAnsi="仿宋" w:eastAsia="仿宋" w:cs="仿宋"/>
          <w:color w:val="000000"/>
          <w:sz w:val="32"/>
          <w:szCs w:val="32"/>
          <w:shd w:val="clear" w:color="auto" w:fill="FFFFFF"/>
        </w:rPr>
        <w:t>结算不及时等问题。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（二）原因分析</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分析，造成以上问题的主要原因：一是部分供电企业资金投入不足，配网设施建设改造滞后；二是部分供电企业抢修力量不足，不能及时抢修用电高峰时期多发的停电故障；三是部分供电企服务意识薄弱、服务质量不高；四是个别供电设施</w:t>
      </w:r>
      <w:r>
        <w:rPr>
          <w:rFonts w:hint="eastAsia" w:ascii="仿宋" w:hAnsi="仿宋" w:eastAsia="仿宋" w:cs="仿宋"/>
          <w:color w:val="000000"/>
          <w:sz w:val="32"/>
          <w:szCs w:val="32"/>
          <w:shd w:val="clear" w:color="auto" w:fill="FFFFFF"/>
          <w:lang w:val="en-US" w:eastAsia="zh-CN"/>
        </w:rPr>
        <w:t>升级改造滞后</w:t>
      </w:r>
      <w:r>
        <w:rPr>
          <w:rFonts w:hint="eastAsia" w:ascii="仿宋" w:hAnsi="仿宋" w:eastAsia="仿宋" w:cs="仿宋"/>
          <w:color w:val="000000"/>
          <w:sz w:val="32"/>
          <w:szCs w:val="32"/>
          <w:shd w:val="clear" w:color="auto" w:fill="FFFFFF"/>
        </w:rPr>
        <w:t>；五是个别供电企业未</w:t>
      </w:r>
      <w:r>
        <w:rPr>
          <w:rFonts w:hint="eastAsia" w:ascii="仿宋" w:hAnsi="仿宋" w:eastAsia="仿宋" w:cs="仿宋"/>
          <w:color w:val="000000"/>
          <w:sz w:val="32"/>
          <w:szCs w:val="32"/>
          <w:shd w:val="clear" w:color="auto" w:fill="FFFFFF"/>
          <w:lang w:val="en-US" w:eastAsia="zh-CN"/>
        </w:rPr>
        <w:t>严格按照</w:t>
      </w:r>
      <w:r>
        <w:rPr>
          <w:rFonts w:hint="eastAsia" w:ascii="仿宋" w:hAnsi="仿宋" w:eastAsia="仿宋" w:cs="仿宋"/>
          <w:color w:val="000000"/>
          <w:sz w:val="32"/>
          <w:szCs w:val="32"/>
          <w:shd w:val="clear" w:color="auto" w:fill="FFFFFF"/>
        </w:rPr>
        <w:t>分布式光伏发电</w:t>
      </w:r>
      <w:r>
        <w:rPr>
          <w:rFonts w:hint="eastAsia" w:ascii="仿宋" w:hAnsi="仿宋" w:eastAsia="仿宋" w:cs="仿宋"/>
          <w:color w:val="000000"/>
          <w:sz w:val="32"/>
          <w:szCs w:val="32"/>
          <w:shd w:val="clear" w:color="auto" w:fill="FFFFFF"/>
          <w:lang w:val="en-US" w:eastAsia="zh-CN"/>
        </w:rPr>
        <w:t>项目补贴</w:t>
      </w:r>
      <w:r>
        <w:rPr>
          <w:rFonts w:hint="eastAsia" w:ascii="仿宋" w:hAnsi="仿宋" w:eastAsia="仿宋" w:cs="仿宋"/>
          <w:color w:val="000000"/>
          <w:sz w:val="32"/>
          <w:szCs w:val="32"/>
          <w:shd w:val="clear" w:color="auto" w:fill="FFFFFF"/>
        </w:rPr>
        <w:t>结算</w:t>
      </w:r>
      <w:r>
        <w:rPr>
          <w:rFonts w:hint="eastAsia" w:ascii="仿宋" w:hAnsi="仿宋" w:eastAsia="仿宋" w:cs="仿宋"/>
          <w:color w:val="000000"/>
          <w:sz w:val="32"/>
          <w:szCs w:val="32"/>
          <w:shd w:val="clear" w:color="auto" w:fill="FFFFFF"/>
          <w:lang w:val="en-US" w:eastAsia="zh-CN"/>
        </w:rPr>
        <w:t>政策执行</w:t>
      </w:r>
      <w:r>
        <w:rPr>
          <w:rFonts w:hint="eastAsia" w:ascii="仿宋" w:hAnsi="仿宋" w:eastAsia="仿宋" w:cs="仿宋"/>
          <w:color w:val="000000"/>
          <w:sz w:val="32"/>
          <w:szCs w:val="32"/>
          <w:shd w:val="clear" w:color="auto" w:fill="FFFFFF"/>
        </w:rPr>
        <w:t>等。</w:t>
      </w:r>
    </w:p>
    <w:p>
      <w:pPr>
        <w:spacing w:line="600" w:lineRule="exact"/>
        <w:ind w:firstLine="640" w:firstLineChars="200"/>
        <w:rPr>
          <w:rFonts w:ascii="黑体" w:hAnsi="黑体" w:eastAsia="黑体"/>
          <w:color w:val="000000"/>
          <w:sz w:val="32"/>
        </w:rPr>
      </w:pPr>
      <w:r>
        <w:rPr>
          <w:rFonts w:hint="eastAsia" w:ascii="黑体" w:hAnsi="黑体" w:eastAsia="黑体"/>
          <w:color w:val="000000"/>
          <w:sz w:val="32"/>
          <w:lang w:val="en-US" w:eastAsia="zh-CN"/>
        </w:rPr>
        <w:t>五</w:t>
      </w:r>
      <w:r>
        <w:rPr>
          <w:rFonts w:hint="eastAsia" w:ascii="黑体" w:hAnsi="黑体" w:eastAsia="黑体"/>
          <w:color w:val="000000"/>
          <w:sz w:val="32"/>
        </w:rPr>
        <w:t>、处理结果</w:t>
      </w:r>
    </w:p>
    <w:p>
      <w:pPr>
        <w:spacing w:line="600" w:lineRule="exact"/>
        <w:ind w:firstLine="640" w:firstLineChars="200"/>
        <w:rPr>
          <w:rFonts w:hint="eastAsia" w:ascii="仿宋_GB2312" w:eastAsia="仿宋_GB2312"/>
          <w:color w:val="000000"/>
          <w:sz w:val="32"/>
        </w:rPr>
      </w:pPr>
      <w:r>
        <w:rPr>
          <w:rFonts w:hint="eastAsia" w:ascii="仿宋_GB2312" w:eastAsia="仿宋_GB2312"/>
          <w:sz w:val="32"/>
        </w:rPr>
        <w:t>2020年1月</w:t>
      </w:r>
      <w:r>
        <w:rPr>
          <w:rFonts w:hint="eastAsia" w:ascii="仿宋_GB2312" w:eastAsia="仿宋_GB2312"/>
          <w:color w:val="000000"/>
          <w:sz w:val="32"/>
        </w:rPr>
        <w:t>共收到投诉举报信息18件，根据国家有关法律法规规定，山西能源监管办对属于监管职责范围的16（受理数）件进行了受理，占投诉举报量的88.89%；其他不属于能源监管职责范围的已按照有关规定进行了及时转办。</w:t>
      </w:r>
    </w:p>
    <w:p>
      <w:pPr>
        <w:spacing w:line="600" w:lineRule="exact"/>
        <w:ind w:firstLine="640" w:firstLineChars="200"/>
        <w:rPr>
          <w:rFonts w:ascii="宋体" w:hAnsi="宋体" w:cs="宋体"/>
          <w:color w:val="000000"/>
          <w:szCs w:val="21"/>
          <w:shd w:val="clear" w:color="auto" w:fill="FFFFFF"/>
        </w:rPr>
      </w:pPr>
      <w:r>
        <w:rPr>
          <w:rFonts w:hint="eastAsia" w:ascii="仿宋_GB2312" w:eastAsia="仿宋_GB2312" w:cs="仿宋_GB2312"/>
          <w:color w:val="000000"/>
          <w:sz w:val="32"/>
          <w:szCs w:val="32"/>
        </w:rPr>
        <w:t>针对群众反映的投诉举报事项，</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严格依据国家有关法律法规及文件规定进行了处理：</w:t>
      </w:r>
      <w:r>
        <w:rPr>
          <w:rFonts w:hint="eastAsia" w:ascii="仿宋" w:hAnsi="仿宋" w:eastAsia="仿宋" w:cs="仿宋"/>
          <w:color w:val="000000"/>
          <w:sz w:val="32"/>
          <w:szCs w:val="32"/>
          <w:shd w:val="clear" w:color="auto" w:fill="FFFFFF"/>
        </w:rPr>
        <w:t>一是通过解释说明，澄清事实，使当事人消除误解；二是通过协调督促，加快电能质量问题的解决，及时消除了安全隐患,保障了群众正常生产生活；三是通过监管约谈、责令整改等方式，纠正了相关企业的违法违规行为，维护了当事人合法权益。</w:t>
      </w:r>
    </w:p>
    <w:p>
      <w:pPr>
        <w:spacing w:line="600" w:lineRule="exact"/>
        <w:ind w:firstLine="640" w:firstLineChars="200"/>
        <w:jc w:val="left"/>
        <w:rPr>
          <w:rFonts w:hint="eastAsia" w:ascii="仿宋_GB2312" w:eastAsia="仿宋_GB2312"/>
          <w:color w:val="000000"/>
          <w:sz w:val="32"/>
          <w:lang w:eastAsia="zh-CN"/>
        </w:rPr>
        <w:sectPr>
          <w:headerReference r:id="rId3" w:type="default"/>
          <w:footerReference r:id="rId4" w:type="default"/>
          <w:footerReference r:id="rId5" w:type="even"/>
          <w:pgSz w:w="11906" w:h="16838"/>
          <w:pgMar w:top="2041" w:right="1531" w:bottom="1928" w:left="1644" w:header="851" w:footer="992" w:gutter="0"/>
          <w:pgBorders w:offsetFrom="page">
            <w:top w:val="none" w:sz="0" w:space="0"/>
            <w:left w:val="none" w:sz="0" w:space="0"/>
            <w:bottom w:val="none" w:sz="0" w:space="0"/>
            <w:right w:val="none" w:sz="0" w:space="0"/>
          </w:pgBorders>
          <w:pgNumType w:start="1"/>
          <w:cols w:space="708" w:num="1"/>
          <w:docGrid w:linePitch="312" w:charSpace="0"/>
        </w:sectPr>
      </w:pPr>
      <w:r>
        <w:rPr>
          <w:rFonts w:hint="eastAsia" w:ascii="仿宋_GB2312" w:eastAsia="仿宋_GB2312"/>
          <w:sz w:val="32"/>
        </w:rPr>
        <w:t>2020年1月</w:t>
      </w:r>
      <w:r>
        <w:rPr>
          <w:rFonts w:hint="eastAsia" w:ascii="仿宋_GB2312" w:eastAsia="仿宋_GB2312"/>
          <w:color w:val="000000"/>
          <w:sz w:val="32"/>
        </w:rPr>
        <w:t>已办结投诉举报11件</w:t>
      </w:r>
      <w:r>
        <w:rPr>
          <w:rFonts w:hint="eastAsia" w:ascii="仿宋_GB2312" w:eastAsia="仿宋_GB2312" w:cs="仿宋_GB2312"/>
          <w:color w:val="000000"/>
          <w:sz w:val="32"/>
          <w:szCs w:val="32"/>
        </w:rPr>
        <w:t>，占投诉举报受理量的</w:t>
      </w:r>
      <w:r>
        <w:rPr>
          <w:rFonts w:ascii="仿宋_GB2312" w:eastAsia="仿宋_GB2312" w:cs="仿宋_GB2312"/>
          <w:color w:val="000000"/>
          <w:sz w:val="32"/>
          <w:szCs w:val="32"/>
        </w:rPr>
        <w:t>68.75%</w:t>
      </w:r>
      <w:r>
        <w:rPr>
          <w:rFonts w:hint="eastAsia" w:ascii="仿宋_GB2312" w:eastAsia="仿宋_GB2312" w:cs="仿宋_GB2312"/>
          <w:color w:val="000000"/>
          <w:sz w:val="32"/>
          <w:szCs w:val="32"/>
        </w:rPr>
        <w:t>；完成回访</w:t>
      </w:r>
      <w:r>
        <w:rPr>
          <w:rFonts w:ascii="仿宋_GB2312" w:eastAsia="仿宋_GB2312" w:cs="仿宋_GB2312"/>
          <w:color w:val="000000"/>
          <w:sz w:val="32"/>
          <w:szCs w:val="32"/>
        </w:rPr>
        <w:t>11</w:t>
      </w:r>
      <w:r>
        <w:rPr>
          <w:rFonts w:hint="eastAsia" w:ascii="仿宋_GB2312" w:eastAsia="仿宋_GB2312" w:cs="仿宋_GB2312"/>
          <w:color w:val="000000"/>
          <w:sz w:val="32"/>
          <w:szCs w:val="32"/>
        </w:rPr>
        <w:t>件，回访率为</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，满意率达到</w:t>
      </w:r>
      <w:r>
        <w:rPr>
          <w:rFonts w:ascii="仿宋_GB2312" w:eastAsia="仿宋_GB2312" w:cs="仿宋_GB2312"/>
          <w:color w:val="000000"/>
          <w:sz w:val="32"/>
          <w:szCs w:val="32"/>
        </w:rPr>
        <w:t>90.91</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w:t>
      </w:r>
    </w:p>
    <w:p>
      <w:pPr>
        <w:rPr>
          <w:rFonts w:ascii="仿宋_GB2312" w:eastAsia="仿宋_GB2312"/>
          <w:color w:val="000000"/>
          <w:sz w:val="28"/>
          <w:szCs w:val="28"/>
        </w:rPr>
      </w:pPr>
    </w:p>
    <w:sectPr>
      <w:headerReference r:id="rId6" w:type="default"/>
      <w:footerReference r:id="rId7" w:type="default"/>
      <w:footerReference r:id="rId8" w:type="even"/>
      <w:pgSz w:w="16839" w:h="23814"/>
      <w:pgMar w:top="1928" w:right="1134" w:bottom="2041" w:left="1134" w:header="851" w:footer="992" w:gutter="0"/>
      <w:pgBorders w:offsetFrom="page">
        <w:top w:val="none" w:sz="0" w:space="0"/>
        <w:left w:val="none" w:sz="0" w:space="0"/>
        <w:bottom w:val="none" w:sz="0" w:space="0"/>
        <w:right w:val="none" w:sz="0" w:space="0"/>
      </w:pgBorders>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A84BFC"/>
    <w:rsid w:val="05F873C2"/>
    <w:rsid w:val="1144492F"/>
    <w:rsid w:val="24FF51B3"/>
    <w:rsid w:val="327F2D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61"/>
    <w:qFormat/>
    <w:uiPriority w:val="0"/>
    <w:rPr>
      <w:rFonts w:hint="eastAsia" w:ascii="仿宋_GB2312" w:eastAsia="仿宋_GB2312" w:cs="仿宋_GB2312"/>
      <w:color w:val="000000"/>
      <w:sz w:val="18"/>
      <w:szCs w:val="18"/>
    </w:rPr>
  </w:style>
  <w:style w:type="character" w:customStyle="1" w:styleId="13">
    <w:name w:val="font101"/>
    <w:qFormat/>
    <w:uiPriority w:val="0"/>
    <w:rPr>
      <w:rFonts w:hint="eastAsia" w:ascii="仿宋_GB2312" w:eastAsia="仿宋_GB2312" w:cs="仿宋_GB2312"/>
      <w:color w:val="FF0000"/>
      <w:sz w:val="18"/>
      <w:szCs w:val="18"/>
    </w:rPr>
  </w:style>
  <w:style w:type="paragraph" w:customStyle="1" w:styleId="14">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376</Words>
  <Characters>2147</Characters>
  <Lines>17</Lines>
  <Paragraphs>5</Paragraphs>
  <TotalTime>29</TotalTime>
  <ScaleCrop>false</ScaleCrop>
  <LinksUpToDate>false</LinksUpToDate>
  <CharactersWithSpaces>2518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lenovo</cp:lastModifiedBy>
  <cp:lastPrinted>2016-12-12T06:17:00Z</cp:lastPrinted>
  <dcterms:modified xsi:type="dcterms:W3CDTF">2020-02-26T03:00:25Z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