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92"/>
        </w:tabs>
        <w:rPr>
          <w:rFonts w:hint="eastAsia" w:ascii="黑体" w:hAnsi="宋体" w:eastAsia="黑体"/>
          <w:color w:val="000000"/>
          <w:sz w:val="40"/>
          <w:szCs w:val="44"/>
        </w:rPr>
      </w:pPr>
    </w:p>
    <w:p>
      <w:pPr>
        <w:tabs>
          <w:tab w:val="left" w:pos="592"/>
        </w:tabs>
        <w:jc w:val="center"/>
        <w:rPr>
          <w:rFonts w:ascii="黑体" w:hAnsi="宋体" w:eastAsia="黑体"/>
          <w:color w:val="000000"/>
          <w:sz w:val="44"/>
          <w:szCs w:val="44"/>
        </w:rPr>
      </w:pPr>
      <w:r>
        <w:rPr>
          <w:rFonts w:hint="eastAsia" w:ascii="黑体" w:hAnsi="宋体" w:eastAsia="黑体"/>
          <w:color w:val="000000"/>
          <w:sz w:val="44"/>
          <w:szCs w:val="44"/>
        </w:rPr>
        <w:t>2020年8 月12398能源监管热线</w:t>
      </w:r>
    </w:p>
    <w:p>
      <w:pPr>
        <w:tabs>
          <w:tab w:val="left" w:pos="592"/>
        </w:tabs>
        <w:jc w:val="center"/>
        <w:rPr>
          <w:rFonts w:ascii="黑体" w:hAnsi="宋体" w:eastAsia="黑体"/>
          <w:color w:val="000000"/>
          <w:sz w:val="44"/>
          <w:szCs w:val="44"/>
        </w:rPr>
      </w:pPr>
      <w:r>
        <w:rPr>
          <w:rFonts w:hint="eastAsia" w:ascii="黑体" w:hAnsi="宋体" w:eastAsia="黑体"/>
          <w:color w:val="000000"/>
          <w:sz w:val="44"/>
          <w:szCs w:val="44"/>
        </w:rPr>
        <w:t>投诉举报处理情况通报</w:t>
      </w:r>
    </w:p>
    <w:p>
      <w:pPr>
        <w:spacing w:line="560" w:lineRule="exact"/>
        <w:ind w:firstLine="643" w:firstLineChars="200"/>
        <w:jc w:val="center"/>
        <w:rPr>
          <w:rFonts w:ascii="仿宋_GB2312" w:eastAsia="仿宋_GB2312"/>
          <w:b/>
          <w:color w:val="000000"/>
          <w:sz w:val="32"/>
        </w:rPr>
      </w:pP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为了保护能源投资者、经营者、使用者的合法权益，维护能源市场秩序，依法履行监管职责，</w:t>
      </w:r>
      <w:r>
        <w:rPr>
          <w:rFonts w:ascii="仿宋_GB2312" w:eastAsia="仿宋_GB2312" w:cs="仿宋_GB2312"/>
          <w:color w:val="000000"/>
          <w:sz w:val="32"/>
          <w:szCs w:val="32"/>
        </w:rPr>
        <w:t>山西能源监管办</w:t>
      </w:r>
      <w:r>
        <w:rPr>
          <w:rFonts w:hint="eastAsia" w:ascii="仿宋_GB2312" w:eastAsia="仿宋_GB2312" w:cs="仿宋_GB2312"/>
          <w:color w:val="000000"/>
          <w:sz w:val="32"/>
          <w:szCs w:val="32"/>
        </w:rPr>
        <w:t>积极畅通投诉举报渠道，切实发挥</w:t>
      </w:r>
      <w:r>
        <w:rPr>
          <w:rFonts w:ascii="仿宋_GB2312" w:eastAsia="仿宋_GB2312" w:cs="仿宋_GB2312"/>
          <w:color w:val="000000"/>
          <w:sz w:val="32"/>
          <w:szCs w:val="32"/>
        </w:rPr>
        <w:t>12398</w:t>
      </w:r>
      <w:r>
        <w:rPr>
          <w:rFonts w:hint="eastAsia" w:ascii="仿宋_GB2312" w:eastAsia="仿宋_GB2312" w:cs="仿宋_GB2312"/>
          <w:color w:val="000000"/>
          <w:sz w:val="32"/>
          <w:szCs w:val="32"/>
        </w:rPr>
        <w:t>能源监管热线（含</w:t>
      </w:r>
      <w:r>
        <w:rPr>
          <w:rFonts w:ascii="仿宋_GB2312" w:eastAsia="仿宋_GB2312" w:cs="仿宋_GB2312"/>
          <w:color w:val="000000"/>
          <w:sz w:val="32"/>
          <w:szCs w:val="32"/>
        </w:rPr>
        <w:t>12398</w:t>
      </w:r>
      <w:r>
        <w:rPr>
          <w:rFonts w:hint="eastAsia" w:ascii="仿宋_GB2312" w:eastAsia="仿宋_GB2312" w:cs="仿宋_GB2312"/>
          <w:color w:val="000000"/>
          <w:sz w:val="32"/>
          <w:szCs w:val="32"/>
        </w:rPr>
        <w:t>电话、传真、电子邮件等）的作用，认真受理能源监管投诉举报事项，定期公布投诉举报处理情况。现将</w:t>
      </w:r>
      <w:r>
        <w:rPr>
          <w:rFonts w:ascii="仿宋_GB2312" w:eastAsia="仿宋_GB2312" w:cs="仿宋_GB2312"/>
          <w:color w:val="000000"/>
          <w:sz w:val="32"/>
          <w:szCs w:val="32"/>
        </w:rPr>
        <w:t>2020</w:t>
      </w:r>
      <w:r>
        <w:rPr>
          <w:rFonts w:hint="eastAsia" w:ascii="仿宋_GB2312" w:eastAsia="仿宋_GB2312" w:cs="仿宋_GB2312"/>
          <w:color w:val="000000"/>
          <w:sz w:val="32"/>
          <w:szCs w:val="32"/>
        </w:rPr>
        <w:t>年</w:t>
      </w:r>
      <w:r>
        <w:rPr>
          <w:rFonts w:ascii="仿宋_GB2312" w:eastAsia="仿宋_GB2312" w:cs="仿宋_GB2312"/>
          <w:color w:val="000000"/>
          <w:sz w:val="32"/>
          <w:szCs w:val="32"/>
        </w:rPr>
        <w:t>8</w:t>
      </w:r>
      <w:r>
        <w:rPr>
          <w:rFonts w:hint="eastAsia" w:ascii="仿宋_GB2312" w:eastAsia="仿宋_GB2312" w:cs="仿宋_GB2312"/>
          <w:color w:val="000000"/>
          <w:sz w:val="32"/>
          <w:szCs w:val="32"/>
        </w:rPr>
        <w:t>月</w:t>
      </w:r>
      <w:r>
        <w:rPr>
          <w:rFonts w:ascii="仿宋_GB2312" w:eastAsia="仿宋_GB2312" w:cs="仿宋_GB2312"/>
          <w:color w:val="000000"/>
          <w:sz w:val="32"/>
          <w:szCs w:val="32"/>
        </w:rPr>
        <w:t>12398</w:t>
      </w:r>
      <w:r>
        <w:rPr>
          <w:rFonts w:hint="eastAsia" w:ascii="仿宋_GB2312" w:eastAsia="仿宋_GB2312" w:cs="仿宋_GB2312"/>
          <w:color w:val="000000"/>
          <w:sz w:val="32"/>
          <w:szCs w:val="32"/>
        </w:rPr>
        <w:t>能源监管热线</w:t>
      </w:r>
      <w:r>
        <w:rPr>
          <w:rFonts w:hint="eastAsia" w:ascii="仿宋_GB2312" w:eastAsia="仿宋_GB2312" w:cs="仿宋_GB2312"/>
          <w:sz w:val="32"/>
          <w:szCs w:val="32"/>
        </w:rPr>
        <w:t>（以下简称</w:t>
      </w:r>
      <w:r>
        <w:rPr>
          <w:rFonts w:ascii="仿宋_GB2312" w:eastAsia="仿宋_GB2312" w:cs="仿宋_GB2312"/>
          <w:sz w:val="32"/>
          <w:szCs w:val="32"/>
        </w:rPr>
        <w:t>12398</w:t>
      </w:r>
      <w:r>
        <w:rPr>
          <w:rFonts w:hint="eastAsia" w:ascii="仿宋_GB2312" w:eastAsia="仿宋_GB2312" w:cs="仿宋_GB2312"/>
          <w:sz w:val="32"/>
          <w:szCs w:val="32"/>
        </w:rPr>
        <w:t>热线）</w:t>
      </w:r>
      <w:r>
        <w:rPr>
          <w:rFonts w:hint="eastAsia" w:ascii="仿宋_GB2312" w:eastAsia="仿宋_GB2312" w:cs="仿宋_GB2312"/>
          <w:color w:val="000000"/>
          <w:sz w:val="32"/>
          <w:szCs w:val="32"/>
        </w:rPr>
        <w:t>投诉举报处理情况通报如下：</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黑体" w:hAnsi="黑体" w:eastAsia="黑体" w:cs="黑体"/>
          <w:color w:val="000000"/>
          <w:sz w:val="32"/>
          <w:lang w:eastAsia="zh-CN"/>
        </w:rPr>
      </w:pPr>
      <w:r>
        <w:rPr>
          <w:rFonts w:hint="eastAsia" w:ascii="黑体" w:hAnsi="黑体" w:eastAsia="黑体" w:cs="黑体"/>
          <w:color w:val="000000"/>
          <w:sz w:val="32"/>
        </w:rPr>
        <w:t>一</w:t>
      </w:r>
      <w:r>
        <w:rPr>
          <w:rFonts w:hint="eastAsia" w:ascii="黑体" w:hAnsi="黑体" w:eastAsia="黑体" w:cs="黑体"/>
          <w:color w:val="000000"/>
          <w:sz w:val="32"/>
          <w:lang w:eastAsia="zh-CN"/>
        </w:rPr>
        <w:t>、</w:t>
      </w:r>
      <w:r>
        <w:rPr>
          <w:rFonts w:hint="eastAsia" w:ascii="黑体" w:hAnsi="黑体" w:eastAsia="黑体" w:cs="黑体"/>
          <w:color w:val="000000"/>
          <w:sz w:val="32"/>
          <w:lang w:val="en-US" w:eastAsia="zh-CN"/>
        </w:rPr>
        <w:t>基本情况</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cs="仿宋_GB2312"/>
          <w:color w:val="000000"/>
          <w:sz w:val="32"/>
          <w:szCs w:val="32"/>
        </w:rPr>
      </w:pPr>
      <w:r>
        <w:rPr>
          <w:rFonts w:ascii="仿宋_GB2312" w:eastAsia="仿宋_GB2312" w:cs="仿宋_GB2312"/>
          <w:color w:val="000000"/>
          <w:sz w:val="32"/>
          <w:szCs w:val="32"/>
        </w:rPr>
        <w:t>2020</w:t>
      </w:r>
      <w:r>
        <w:rPr>
          <w:rFonts w:hint="eastAsia" w:ascii="仿宋_GB2312" w:eastAsia="仿宋_GB2312" w:cs="仿宋_GB2312"/>
          <w:color w:val="000000"/>
          <w:sz w:val="32"/>
          <w:szCs w:val="32"/>
        </w:rPr>
        <w:t>年</w:t>
      </w:r>
      <w:r>
        <w:rPr>
          <w:rFonts w:ascii="仿宋_GB2312" w:eastAsia="仿宋_GB2312" w:cs="仿宋_GB2312"/>
          <w:color w:val="000000"/>
          <w:sz w:val="32"/>
          <w:szCs w:val="32"/>
        </w:rPr>
        <w:t>8</w:t>
      </w:r>
      <w:r>
        <w:rPr>
          <w:rFonts w:hint="eastAsia" w:ascii="仿宋_GB2312" w:eastAsia="仿宋_GB2312" w:cs="仿宋_GB2312"/>
          <w:color w:val="000000"/>
          <w:sz w:val="32"/>
          <w:szCs w:val="32"/>
        </w:rPr>
        <w:t>月，</w:t>
      </w:r>
      <w:r>
        <w:rPr>
          <w:rFonts w:ascii="仿宋_GB2312" w:eastAsia="仿宋_GB2312" w:cs="仿宋_GB2312"/>
          <w:color w:val="000000"/>
          <w:sz w:val="32"/>
          <w:szCs w:val="32"/>
        </w:rPr>
        <w:t>山西能源监管办12398</w:t>
      </w:r>
      <w:r>
        <w:rPr>
          <w:rFonts w:hint="eastAsia" w:ascii="仿宋_GB2312" w:eastAsia="仿宋_GB2312" w:cs="仿宋_GB2312"/>
          <w:color w:val="000000"/>
          <w:sz w:val="32"/>
          <w:szCs w:val="32"/>
        </w:rPr>
        <w:t>热线共收到有效信息</w:t>
      </w:r>
      <w:r>
        <w:rPr>
          <w:rFonts w:ascii="仿宋_GB2312" w:eastAsia="仿宋_GB2312" w:cs="仿宋_GB2312"/>
          <w:color w:val="000000"/>
          <w:sz w:val="32"/>
          <w:szCs w:val="32"/>
        </w:rPr>
        <w:t>300</w:t>
      </w:r>
      <w:r>
        <w:rPr>
          <w:rFonts w:hint="eastAsia" w:ascii="仿宋_GB2312" w:eastAsia="仿宋_GB2312" w:cs="仿宋_GB2312"/>
          <w:color w:val="000000"/>
          <w:sz w:val="32"/>
          <w:szCs w:val="32"/>
        </w:rPr>
        <w:t>件，环比</w:t>
      </w:r>
      <w:r>
        <w:rPr>
          <w:rFonts w:ascii="仿宋_GB2312" w:eastAsia="仿宋_GB2312" w:cs="仿宋_GB2312"/>
          <w:color w:val="000000"/>
          <w:sz w:val="32"/>
          <w:szCs w:val="32"/>
        </w:rPr>
        <w:t>减少2.60%</w:t>
      </w:r>
      <w:r>
        <w:rPr>
          <w:rFonts w:hint="eastAsia" w:ascii="仿宋_GB2312" w:eastAsia="仿宋_GB2312" w:cs="仿宋_GB2312"/>
          <w:color w:val="000000"/>
          <w:sz w:val="32"/>
          <w:szCs w:val="32"/>
        </w:rPr>
        <w:t>，同比</w:t>
      </w:r>
      <w:r>
        <w:rPr>
          <w:rFonts w:ascii="仿宋_GB2312" w:eastAsia="仿宋_GB2312" w:cs="仿宋_GB2312"/>
          <w:color w:val="000000"/>
          <w:sz w:val="32"/>
          <w:szCs w:val="32"/>
        </w:rPr>
        <w:t>增加2.74%</w:t>
      </w:r>
      <w:r>
        <w:rPr>
          <w:rFonts w:hint="eastAsia" w:asci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cs="仿宋_GB2312"/>
          <w:color w:val="000000"/>
          <w:sz w:val="32"/>
          <w:szCs w:val="32"/>
        </w:rPr>
      </w:pPr>
      <w:r>
        <w:rPr>
          <w:rFonts w:hint="eastAsia" w:ascii="仿宋_GB2312" w:eastAsia="仿宋_GB2312" w:cs="仿宋_GB2312"/>
          <w:color w:val="000000"/>
          <w:sz w:val="32"/>
          <w:szCs w:val="32"/>
        </w:rPr>
        <w:t>按诉求性质分类，投诉</w:t>
      </w:r>
      <w:r>
        <w:rPr>
          <w:rFonts w:ascii="仿宋_GB2312" w:eastAsia="仿宋_GB2312" w:cs="仿宋_GB2312"/>
          <w:color w:val="000000"/>
          <w:sz w:val="32"/>
          <w:szCs w:val="32"/>
        </w:rPr>
        <w:t>9</w:t>
      </w:r>
      <w:r>
        <w:rPr>
          <w:rFonts w:hint="eastAsia" w:ascii="仿宋_GB2312" w:eastAsia="仿宋_GB2312" w:cs="仿宋_GB2312"/>
          <w:color w:val="000000"/>
          <w:sz w:val="32"/>
          <w:szCs w:val="32"/>
        </w:rPr>
        <w:t>件，占有效信息的</w:t>
      </w:r>
      <w:r>
        <w:rPr>
          <w:rFonts w:ascii="仿宋_GB2312" w:eastAsia="仿宋_GB2312" w:cs="仿宋_GB2312"/>
          <w:color w:val="000000"/>
          <w:sz w:val="32"/>
          <w:szCs w:val="32"/>
        </w:rPr>
        <w:t>3.00%</w:t>
      </w:r>
      <w:r>
        <w:rPr>
          <w:rFonts w:hint="eastAsia" w:ascii="仿宋_GB2312" w:eastAsia="仿宋_GB2312" w:cs="仿宋_GB2312"/>
          <w:color w:val="000000"/>
          <w:sz w:val="32"/>
          <w:szCs w:val="32"/>
        </w:rPr>
        <w:t>；咨询</w:t>
      </w:r>
      <w:r>
        <w:rPr>
          <w:rFonts w:ascii="仿宋_GB2312" w:eastAsia="仿宋_GB2312" w:cs="仿宋_GB2312"/>
          <w:color w:val="000000"/>
          <w:sz w:val="32"/>
          <w:szCs w:val="32"/>
        </w:rPr>
        <w:t>257</w:t>
      </w:r>
      <w:r>
        <w:rPr>
          <w:rFonts w:hint="eastAsia" w:ascii="仿宋_GB2312" w:eastAsia="仿宋_GB2312" w:cs="仿宋_GB2312"/>
          <w:color w:val="000000"/>
          <w:sz w:val="32"/>
          <w:szCs w:val="32"/>
        </w:rPr>
        <w:t>件，占有效信息的</w:t>
      </w:r>
      <w:r>
        <w:rPr>
          <w:rFonts w:ascii="仿宋_GB2312" w:eastAsia="仿宋_GB2312" w:cs="仿宋_GB2312"/>
          <w:color w:val="000000"/>
          <w:sz w:val="32"/>
          <w:szCs w:val="32"/>
        </w:rPr>
        <w:t>85.67%</w:t>
      </w:r>
      <w:r>
        <w:rPr>
          <w:rFonts w:hint="eastAsia" w:ascii="仿宋_GB2312" w:eastAsia="仿宋_GB2312" w:cs="仿宋_GB2312"/>
          <w:color w:val="000000"/>
          <w:sz w:val="32"/>
          <w:szCs w:val="32"/>
        </w:rPr>
        <w:t>；表扬、求助、建议等其他方面</w:t>
      </w:r>
      <w:r>
        <w:rPr>
          <w:rFonts w:ascii="仿宋_GB2312" w:eastAsia="仿宋_GB2312" w:cs="仿宋_GB2312"/>
          <w:color w:val="000000"/>
          <w:sz w:val="32"/>
          <w:szCs w:val="32"/>
        </w:rPr>
        <w:t>34</w:t>
      </w:r>
      <w:r>
        <w:rPr>
          <w:rFonts w:hint="eastAsia" w:ascii="仿宋_GB2312" w:eastAsia="仿宋_GB2312" w:cs="仿宋_GB2312"/>
          <w:color w:val="000000"/>
          <w:sz w:val="32"/>
          <w:szCs w:val="32"/>
        </w:rPr>
        <w:t>件，占有效信息的</w:t>
      </w:r>
      <w:r>
        <w:rPr>
          <w:rFonts w:ascii="仿宋_GB2312" w:eastAsia="仿宋_GB2312" w:cs="仿宋_GB2312"/>
          <w:color w:val="000000"/>
          <w:sz w:val="32"/>
          <w:szCs w:val="32"/>
        </w:rPr>
        <w:t>11.33%</w:t>
      </w:r>
      <w:r>
        <w:rPr>
          <w:rFonts w:hint="eastAsia" w:asci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cs="仿宋_GB2312"/>
          <w:color w:val="000000"/>
          <w:sz w:val="32"/>
          <w:szCs w:val="32"/>
        </w:rPr>
      </w:pPr>
      <w:r>
        <w:rPr>
          <w:rFonts w:hint="eastAsia" w:ascii="仿宋_GB2312" w:eastAsia="仿宋_GB2312" w:cs="仿宋_GB2312"/>
          <w:color w:val="000000"/>
          <w:sz w:val="32"/>
          <w:szCs w:val="32"/>
        </w:rPr>
        <w:t>按反映渠道分类，</w:t>
      </w:r>
      <w:r>
        <w:rPr>
          <w:rFonts w:ascii="仿宋_GB2312" w:eastAsia="仿宋_GB2312" w:cs="仿宋_GB2312"/>
          <w:color w:val="000000"/>
          <w:sz w:val="32"/>
          <w:szCs w:val="32"/>
        </w:rPr>
        <w:t>12398</w:t>
      </w:r>
      <w:r>
        <w:rPr>
          <w:rFonts w:hint="eastAsia" w:ascii="仿宋_GB2312" w:eastAsia="仿宋_GB2312" w:cs="仿宋_GB2312"/>
          <w:color w:val="000000"/>
          <w:sz w:val="32"/>
          <w:szCs w:val="32"/>
        </w:rPr>
        <w:t>电话</w:t>
      </w:r>
      <w:r>
        <w:rPr>
          <w:rFonts w:ascii="仿宋_GB2312" w:eastAsia="仿宋_GB2312" w:cs="仿宋_GB2312"/>
          <w:color w:val="000000"/>
          <w:sz w:val="32"/>
          <w:szCs w:val="32"/>
        </w:rPr>
        <w:t>292</w:t>
      </w:r>
      <w:r>
        <w:rPr>
          <w:rFonts w:hint="eastAsia" w:ascii="仿宋_GB2312" w:eastAsia="仿宋_GB2312" w:cs="仿宋_GB2312"/>
          <w:color w:val="000000"/>
          <w:sz w:val="32"/>
          <w:szCs w:val="32"/>
        </w:rPr>
        <w:t>件，电子邮件</w:t>
      </w:r>
      <w:r>
        <w:rPr>
          <w:rFonts w:ascii="仿宋_GB2312" w:eastAsia="仿宋_GB2312" w:cs="仿宋_GB2312"/>
          <w:color w:val="000000"/>
          <w:sz w:val="32"/>
          <w:szCs w:val="32"/>
        </w:rPr>
        <w:t>3</w:t>
      </w:r>
      <w:r>
        <w:rPr>
          <w:rFonts w:hint="eastAsia" w:ascii="仿宋_GB2312" w:eastAsia="仿宋_GB2312" w:cs="仿宋_GB2312"/>
          <w:color w:val="000000"/>
          <w:sz w:val="32"/>
          <w:szCs w:val="32"/>
        </w:rPr>
        <w:t>件，</w:t>
      </w:r>
      <w:r>
        <w:rPr>
          <w:rFonts w:hint="eastAsia" w:ascii="仿宋_GB2312" w:eastAsia="仿宋_GB2312" w:cs="仿宋_GB2312"/>
          <w:color w:val="000000"/>
          <w:sz w:val="32"/>
          <w:szCs w:val="32"/>
          <w:lang w:val="en-US" w:eastAsia="zh-CN"/>
        </w:rPr>
        <w:t>留言4件，</w:t>
      </w:r>
      <w:r>
        <w:rPr>
          <w:rFonts w:hint="eastAsia" w:ascii="仿宋_GB2312" w:eastAsia="仿宋_GB2312" w:cs="仿宋_GB2312"/>
          <w:color w:val="000000"/>
          <w:sz w:val="32"/>
          <w:szCs w:val="32"/>
        </w:rPr>
        <w:t>其他</w:t>
      </w:r>
      <w:r>
        <w:rPr>
          <w:rFonts w:ascii="仿宋_GB2312" w:eastAsia="仿宋_GB2312" w:cs="仿宋_GB2312"/>
          <w:color w:val="000000"/>
          <w:sz w:val="32"/>
          <w:szCs w:val="32"/>
        </w:rPr>
        <w:t>1</w:t>
      </w:r>
      <w:r>
        <w:rPr>
          <w:rFonts w:hint="eastAsia" w:ascii="仿宋_GB2312" w:eastAsia="仿宋_GB2312" w:cs="仿宋_GB2312"/>
          <w:color w:val="000000"/>
          <w:sz w:val="32"/>
          <w:szCs w:val="32"/>
        </w:rPr>
        <w:t>件。（</w:t>
      </w:r>
      <w:r>
        <w:rPr>
          <w:rFonts w:ascii="仿宋_GB2312" w:eastAsia="仿宋_GB2312" w:cs="仿宋_GB2312"/>
          <w:sz w:val="32"/>
          <w:szCs w:val="32"/>
        </w:rPr>
        <w:t>2020</w:t>
      </w:r>
      <w:r>
        <w:rPr>
          <w:rFonts w:hint="eastAsia" w:ascii="仿宋_GB2312" w:eastAsia="仿宋_GB2312" w:cs="仿宋_GB2312"/>
          <w:sz w:val="32"/>
          <w:szCs w:val="32"/>
        </w:rPr>
        <w:t>年</w:t>
      </w:r>
      <w:r>
        <w:rPr>
          <w:rFonts w:ascii="仿宋_GB2312" w:eastAsia="仿宋_GB2312" w:cs="仿宋_GB2312"/>
          <w:sz w:val="32"/>
          <w:szCs w:val="32"/>
        </w:rPr>
        <w:t>8</w:t>
      </w:r>
      <w:r>
        <w:rPr>
          <w:rFonts w:hint="eastAsia" w:ascii="仿宋_GB2312" w:eastAsia="仿宋_GB2312" w:cs="仿宋_GB2312"/>
          <w:sz w:val="32"/>
          <w:szCs w:val="32"/>
        </w:rPr>
        <w:t>月</w:t>
      </w:r>
      <w:r>
        <w:rPr>
          <w:rFonts w:hint="eastAsia" w:ascii="仿宋_GB2312" w:eastAsia="仿宋_GB2312" w:cs="仿宋_GB2312"/>
          <w:color w:val="000000"/>
          <w:sz w:val="32"/>
          <w:szCs w:val="32"/>
        </w:rPr>
        <w:t>收到有效信息情况见表一）</w:t>
      </w:r>
    </w:p>
    <w:p>
      <w:pPr>
        <w:widowControl/>
        <w:snapToGrid w:val="0"/>
        <w:spacing w:line="360" w:lineRule="auto"/>
        <w:jc w:val="center"/>
        <w:rPr>
          <w:rFonts w:ascii="宋体" w:hAnsi="宋体" w:cs="宋体"/>
          <w:b/>
          <w:color w:val="000000"/>
          <w:kern w:val="0"/>
          <w:sz w:val="30"/>
          <w:szCs w:val="32"/>
        </w:rPr>
      </w:pPr>
      <w:r>
        <w:rPr>
          <w:rFonts w:hint="eastAsia" w:ascii="宋体" w:hAnsi="宋体" w:cs="宋体"/>
          <w:b/>
          <w:color w:val="000000"/>
          <w:kern w:val="0"/>
          <w:sz w:val="30"/>
          <w:szCs w:val="32"/>
        </w:rPr>
        <w:t xml:space="preserve">表一 </w:t>
      </w:r>
      <w:r>
        <w:rPr>
          <w:rFonts w:hint="eastAsia" w:ascii="仿宋_GB2312" w:eastAsia="仿宋_GB2312"/>
          <w:color w:val="000000"/>
          <w:sz w:val="32"/>
        </w:rPr>
        <w:t>2020年8月</w:t>
      </w:r>
      <w:r>
        <w:rPr>
          <w:rFonts w:hint="eastAsia" w:ascii="宋体" w:hAnsi="宋体" w:cs="宋体"/>
          <w:b/>
          <w:color w:val="000000"/>
          <w:kern w:val="0"/>
          <w:sz w:val="30"/>
          <w:szCs w:val="32"/>
        </w:rPr>
        <w:t>收到有效信息情况</w:t>
      </w:r>
    </w:p>
    <w:p>
      <w:pPr>
        <w:widowControl/>
        <w:snapToGrid w:val="0"/>
        <w:spacing w:before="120" w:beforeLines="50" w:after="120" w:afterLines="50" w:line="280" w:lineRule="exact"/>
        <w:ind w:right="125"/>
        <w:jc w:val="right"/>
        <w:rPr>
          <w:rFonts w:ascii="宋体" w:hAnsi="宋体" w:cs="宋体"/>
          <w:color w:val="000000"/>
          <w:kern w:val="0"/>
          <w:sz w:val="24"/>
          <w:szCs w:val="28"/>
        </w:rPr>
      </w:pPr>
      <w:r>
        <w:rPr>
          <w:rFonts w:hint="eastAsia" w:ascii="宋体" w:hAnsi="宋体" w:cs="宋体"/>
          <w:color w:val="000000"/>
          <w:kern w:val="0"/>
          <w:sz w:val="24"/>
          <w:szCs w:val="28"/>
        </w:rPr>
        <w:t>单位：件</w:t>
      </w:r>
    </w:p>
    <w:tbl>
      <w:tblPr>
        <w:tblStyle w:val="6"/>
        <w:tblW w:w="0" w:type="auto"/>
        <w:jc w:val="center"/>
        <w:tblLayout w:type="fixed"/>
        <w:tblCellMar>
          <w:top w:w="0" w:type="dxa"/>
          <w:left w:w="108" w:type="dxa"/>
          <w:bottom w:w="0" w:type="dxa"/>
          <w:right w:w="108" w:type="dxa"/>
        </w:tblCellMar>
      </w:tblPr>
      <w:tblGrid>
        <w:gridCol w:w="2433"/>
        <w:gridCol w:w="1239"/>
        <w:gridCol w:w="1239"/>
        <w:gridCol w:w="1239"/>
        <w:gridCol w:w="1239"/>
        <w:gridCol w:w="1239"/>
      </w:tblGrid>
      <w:tr>
        <w:tblPrEx>
          <w:tblCellMar>
            <w:top w:w="0" w:type="dxa"/>
            <w:left w:w="108" w:type="dxa"/>
            <w:bottom w:w="0" w:type="dxa"/>
            <w:right w:w="108" w:type="dxa"/>
          </w:tblCellMar>
        </w:tblPrEx>
        <w:trPr>
          <w:trHeight w:val="375" w:hRule="atLeast"/>
          <w:jc w:val="center"/>
        </w:trPr>
        <w:tc>
          <w:tcPr>
            <w:tcW w:w="2433" w:type="dxa"/>
            <w:tcBorders>
              <w:top w:val="thinThickSmallGap" w:color="000000" w:sz="12" w:space="0"/>
              <w:left w:val="thinThickSmallGap" w:color="000000" w:sz="12" w:space="0"/>
              <w:bottom w:val="double" w:color="000000" w:sz="2"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反映渠道</w:t>
            </w:r>
          </w:p>
        </w:tc>
        <w:tc>
          <w:tcPr>
            <w:tcW w:w="1239" w:type="dxa"/>
            <w:tcBorders>
              <w:top w:val="thinThickSmallGap" w:color="000000" w:sz="12" w:space="0"/>
              <w:left w:val="nil"/>
              <w:bottom w:val="double" w:color="000000" w:sz="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投诉</w:t>
            </w:r>
          </w:p>
        </w:tc>
        <w:tc>
          <w:tcPr>
            <w:tcW w:w="1239" w:type="dxa"/>
            <w:tcBorders>
              <w:top w:val="thinThickSmallGap" w:color="000000" w:sz="12" w:space="0"/>
              <w:left w:val="single" w:color="000000" w:sz="4" w:space="0"/>
              <w:bottom w:val="double" w:color="000000" w:sz="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举报</w:t>
            </w:r>
          </w:p>
        </w:tc>
        <w:tc>
          <w:tcPr>
            <w:tcW w:w="1239" w:type="dxa"/>
            <w:tcBorders>
              <w:top w:val="thinThickSmallGap" w:color="000000" w:sz="12" w:space="0"/>
              <w:left w:val="nil"/>
              <w:bottom w:val="double" w:color="000000" w:sz="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咨询</w:t>
            </w:r>
          </w:p>
        </w:tc>
        <w:tc>
          <w:tcPr>
            <w:tcW w:w="1239" w:type="dxa"/>
            <w:tcBorders>
              <w:top w:val="thinThickSmallGap" w:color="000000" w:sz="12" w:space="0"/>
              <w:left w:val="nil"/>
              <w:bottom w:val="double" w:color="000000" w:sz="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其他</w:t>
            </w:r>
          </w:p>
        </w:tc>
        <w:tc>
          <w:tcPr>
            <w:tcW w:w="1239" w:type="dxa"/>
            <w:tcBorders>
              <w:top w:val="thinThickSmallGap" w:color="000000" w:sz="12" w:space="0"/>
              <w:left w:val="nil"/>
              <w:bottom w:val="double" w:color="000000" w:sz="2"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小计</w:t>
            </w:r>
          </w:p>
        </w:tc>
      </w:tr>
      <w:tr>
        <w:tblPrEx>
          <w:tblCellMar>
            <w:top w:w="0" w:type="dxa"/>
            <w:left w:w="108" w:type="dxa"/>
            <w:bottom w:w="0" w:type="dxa"/>
            <w:right w:w="108" w:type="dxa"/>
          </w:tblCellMar>
        </w:tblPrEx>
        <w:trPr>
          <w:trHeight w:val="585" w:hRule="atLeast"/>
          <w:jc w:val="center"/>
        </w:trPr>
        <w:tc>
          <w:tcPr>
            <w:tcW w:w="2433" w:type="dxa"/>
            <w:tcBorders>
              <w:top w:val="double" w:color="000000" w:sz="2" w:space="0"/>
              <w:left w:val="thinThickSmallGap" w:color="000000" w:sz="12" w:space="0"/>
              <w:bottom w:val="single" w:color="000000" w:sz="4"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12398电话</w:t>
            </w:r>
          </w:p>
        </w:tc>
        <w:tc>
          <w:tcPr>
            <w:tcW w:w="1239" w:type="dxa"/>
            <w:tcBorders>
              <w:top w:val="double" w:color="000000" w:sz="2"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ascii="仿宋_GB2312" w:hAnsi="宋体" w:eastAsia="仿宋_GB2312" w:cs="宋体"/>
                <w:kern w:val="0"/>
                <w:sz w:val="24"/>
              </w:rPr>
              <w:t>9</w:t>
            </w:r>
          </w:p>
        </w:tc>
        <w:tc>
          <w:tcPr>
            <w:tcW w:w="1239" w:type="dxa"/>
            <w:tcBorders>
              <w:top w:val="double" w:color="000000" w:sz="2"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double" w:color="000000" w:sz="2"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252</w:t>
            </w:r>
          </w:p>
        </w:tc>
        <w:tc>
          <w:tcPr>
            <w:tcW w:w="1239" w:type="dxa"/>
            <w:tcBorders>
              <w:top w:val="double" w:color="000000" w:sz="2"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31</w:t>
            </w:r>
          </w:p>
        </w:tc>
        <w:tc>
          <w:tcPr>
            <w:tcW w:w="1239" w:type="dxa"/>
            <w:tcBorders>
              <w:top w:val="double" w:color="000000" w:sz="2" w:space="0"/>
              <w:left w:val="nil"/>
              <w:bottom w:val="single" w:color="000000" w:sz="4"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292</w:t>
            </w:r>
          </w:p>
        </w:tc>
      </w:tr>
      <w:tr>
        <w:tblPrEx>
          <w:tblCellMar>
            <w:top w:w="0" w:type="dxa"/>
            <w:left w:w="108" w:type="dxa"/>
            <w:bottom w:w="0" w:type="dxa"/>
            <w:right w:w="108" w:type="dxa"/>
          </w:tblCellMar>
        </w:tblPrEx>
        <w:trPr>
          <w:trHeight w:val="585" w:hRule="atLeast"/>
          <w:jc w:val="center"/>
        </w:trPr>
        <w:tc>
          <w:tcPr>
            <w:tcW w:w="2433" w:type="dxa"/>
            <w:tcBorders>
              <w:top w:val="single" w:color="000000" w:sz="4" w:space="0"/>
              <w:left w:val="thinThickSmallGap" w:color="000000" w:sz="12" w:space="0"/>
              <w:bottom w:val="single" w:color="000000" w:sz="4"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传    真</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585" w:hRule="atLeast"/>
          <w:jc w:val="center"/>
        </w:trPr>
        <w:tc>
          <w:tcPr>
            <w:tcW w:w="2433" w:type="dxa"/>
            <w:tcBorders>
              <w:top w:val="single" w:color="000000" w:sz="4" w:space="0"/>
              <w:left w:val="thinThickSmallGap" w:color="000000" w:sz="12" w:space="0"/>
              <w:bottom w:val="single" w:color="000000" w:sz="4"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电子邮件</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c>
          <w:tcPr>
            <w:tcW w:w="1239" w:type="dxa"/>
            <w:tcBorders>
              <w:top w:val="single" w:color="000000" w:sz="4" w:space="0"/>
              <w:left w:val="nil"/>
              <w:bottom w:val="single" w:color="000000" w:sz="4"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585" w:hRule="atLeast"/>
          <w:jc w:val="center"/>
        </w:trPr>
        <w:tc>
          <w:tcPr>
            <w:tcW w:w="2433" w:type="dxa"/>
            <w:tcBorders>
              <w:top w:val="single" w:color="000000" w:sz="4" w:space="0"/>
              <w:left w:val="thinThickSmallGap" w:color="000000" w:sz="12" w:space="0"/>
              <w:bottom w:val="single" w:color="000000" w:sz="4" w:space="0"/>
              <w:right w:val="double" w:color="000000" w:sz="2" w:space="0"/>
            </w:tcBorders>
            <w:vAlign w:val="center"/>
          </w:tcPr>
          <w:p>
            <w:pPr>
              <w:widowControl/>
              <w:spacing w:line="30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留言</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仿宋_GB2312" w:hAnsi="宋体" w:eastAsia="仿宋_GB2312" w:cs="宋体"/>
                <w:kern w:val="0"/>
                <w:sz w:val="24"/>
                <w:lang w:val="en-US"/>
              </w:rPr>
            </w:pPr>
            <w:r>
              <w:rPr>
                <w:rFonts w:hint="eastAsia" w:ascii="仿宋_GB2312" w:hAnsi="宋体" w:eastAsia="仿宋_GB2312" w:cs="宋体"/>
                <w:kern w:val="0"/>
                <w:sz w:val="24"/>
                <w:lang w:val="en-US" w:eastAsia="zh-CN"/>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仿宋_GB2312" w:hAnsi="宋体" w:eastAsia="仿宋_GB2312" w:cs="宋体"/>
                <w:kern w:val="0"/>
                <w:sz w:val="24"/>
                <w:lang w:val="en-US"/>
              </w:rPr>
            </w:pPr>
            <w:r>
              <w:rPr>
                <w:rFonts w:hint="eastAsia" w:ascii="仿宋_GB2312" w:hAnsi="宋体" w:eastAsia="仿宋_GB2312" w:cs="宋体"/>
                <w:kern w:val="0"/>
                <w:sz w:val="24"/>
                <w:lang w:val="en-US" w:eastAsia="zh-CN"/>
              </w:rPr>
              <w:t>4</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仿宋_GB2312" w:hAnsi="宋体" w:eastAsia="仿宋_GB2312" w:cs="宋体"/>
                <w:kern w:val="0"/>
                <w:sz w:val="24"/>
                <w:lang w:val="en-US"/>
              </w:rPr>
            </w:pPr>
            <w:r>
              <w:rPr>
                <w:rFonts w:hint="eastAsia" w:ascii="仿宋_GB2312" w:hAnsi="宋体" w:eastAsia="仿宋_GB2312" w:cs="宋体"/>
                <w:kern w:val="0"/>
                <w:sz w:val="24"/>
                <w:lang w:val="en-US" w:eastAsia="zh-CN"/>
              </w:rPr>
              <w:t>0</w:t>
            </w:r>
          </w:p>
        </w:tc>
        <w:tc>
          <w:tcPr>
            <w:tcW w:w="1239" w:type="dxa"/>
            <w:tcBorders>
              <w:top w:val="single" w:color="000000" w:sz="4" w:space="0"/>
              <w:left w:val="nil"/>
              <w:bottom w:val="single" w:color="000000" w:sz="4" w:space="0"/>
              <w:right w:val="thickThinSmallGap" w:color="000000" w:sz="12" w:space="0"/>
            </w:tcBorders>
            <w:vAlign w:val="center"/>
          </w:tcPr>
          <w:p>
            <w:pPr>
              <w:widowControl/>
              <w:spacing w:line="300" w:lineRule="exact"/>
              <w:jc w:val="center"/>
              <w:rPr>
                <w:rFonts w:hint="default" w:ascii="仿宋_GB2312" w:hAnsi="宋体" w:eastAsia="仿宋_GB2312" w:cs="宋体"/>
                <w:kern w:val="0"/>
                <w:sz w:val="24"/>
                <w:lang w:val="en-US"/>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585" w:hRule="atLeast"/>
          <w:jc w:val="center"/>
        </w:trPr>
        <w:tc>
          <w:tcPr>
            <w:tcW w:w="2433" w:type="dxa"/>
            <w:tcBorders>
              <w:top w:val="single" w:color="000000" w:sz="4" w:space="0"/>
              <w:left w:val="thinThickSmallGap" w:color="000000" w:sz="12" w:space="0"/>
              <w:bottom w:val="single" w:color="000000" w:sz="4"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其    他</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585" w:hRule="atLeast"/>
          <w:jc w:val="center"/>
        </w:trPr>
        <w:tc>
          <w:tcPr>
            <w:tcW w:w="2433" w:type="dxa"/>
            <w:tcBorders>
              <w:top w:val="double" w:color="auto" w:sz="4" w:space="0"/>
              <w:left w:val="thinThickSmallGap" w:color="000000" w:sz="12" w:space="0"/>
              <w:bottom w:val="thickThinSmallGap" w:color="000000" w:sz="12"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合    计</w:t>
            </w:r>
          </w:p>
        </w:tc>
        <w:tc>
          <w:tcPr>
            <w:tcW w:w="1239" w:type="dxa"/>
            <w:tcBorders>
              <w:top w:val="double" w:color="auto" w:sz="4" w:space="0"/>
              <w:left w:val="nil"/>
              <w:bottom w:val="thickThinSmallGap" w:color="000000" w:sz="1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9</w:t>
            </w:r>
          </w:p>
        </w:tc>
        <w:tc>
          <w:tcPr>
            <w:tcW w:w="1239" w:type="dxa"/>
            <w:tcBorders>
              <w:top w:val="double" w:color="auto" w:sz="4" w:space="0"/>
              <w:left w:val="single" w:color="000000" w:sz="4" w:space="0"/>
              <w:bottom w:val="thickThinSmallGap" w:color="000000" w:sz="1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double" w:color="auto" w:sz="4" w:space="0"/>
              <w:left w:val="nil"/>
              <w:bottom w:val="thickThinSmallGap" w:color="000000" w:sz="1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257</w:t>
            </w:r>
          </w:p>
        </w:tc>
        <w:tc>
          <w:tcPr>
            <w:tcW w:w="1239" w:type="dxa"/>
            <w:tcBorders>
              <w:top w:val="double" w:color="auto" w:sz="4" w:space="0"/>
              <w:left w:val="nil"/>
              <w:bottom w:val="thickThinSmallGap" w:color="000000" w:sz="1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34</w:t>
            </w:r>
          </w:p>
        </w:tc>
        <w:tc>
          <w:tcPr>
            <w:tcW w:w="1239" w:type="dxa"/>
            <w:tcBorders>
              <w:top w:val="double" w:color="auto" w:sz="4" w:space="0"/>
              <w:left w:val="nil"/>
              <w:bottom w:val="thickThinSmallGap" w:color="000000" w:sz="12"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300</w:t>
            </w:r>
          </w:p>
        </w:tc>
      </w:tr>
    </w:tbl>
    <w:p>
      <w:pPr>
        <w:widowControl/>
        <w:snapToGrid w:val="0"/>
        <w:spacing w:line="360" w:lineRule="exact"/>
        <w:jc w:val="center"/>
        <w:rPr>
          <w:rFonts w:ascii="宋体" w:hAnsi="宋体" w:cs="宋体"/>
          <w:color w:val="000000"/>
          <w:kern w:val="0"/>
          <w:sz w:val="28"/>
          <w:szCs w:val="28"/>
        </w:rPr>
      </w:pPr>
    </w:p>
    <w:p>
      <w:pPr>
        <w:spacing w:line="560" w:lineRule="exact"/>
        <w:ind w:firstLine="640" w:firstLineChars="200"/>
        <w:rPr>
          <w:rFonts w:hint="eastAsia" w:ascii="黑体" w:hAnsi="黑体" w:eastAsia="黑体" w:cs="黑体"/>
          <w:color w:val="000000"/>
          <w:sz w:val="32"/>
        </w:rPr>
      </w:pPr>
      <w:r>
        <w:rPr>
          <w:rFonts w:hint="eastAsia" w:ascii="黑体" w:hAnsi="黑体" w:eastAsia="黑体" w:cs="黑体"/>
          <w:color w:val="000000"/>
          <w:sz w:val="32"/>
        </w:rPr>
        <w:t>二</w:t>
      </w:r>
      <w:r>
        <w:rPr>
          <w:rFonts w:hint="eastAsia" w:ascii="黑体" w:hAnsi="黑体" w:eastAsia="黑体" w:cs="黑体"/>
          <w:color w:val="000000"/>
          <w:sz w:val="32"/>
          <w:lang w:eastAsia="zh-CN"/>
        </w:rPr>
        <w:t>、</w:t>
      </w:r>
      <w:r>
        <w:rPr>
          <w:rFonts w:hint="eastAsia" w:ascii="黑体" w:hAnsi="黑体" w:eastAsia="黑体" w:cs="黑体"/>
          <w:color w:val="000000"/>
          <w:sz w:val="32"/>
        </w:rPr>
        <w:t>分类情况</w:t>
      </w:r>
    </w:p>
    <w:p>
      <w:pPr>
        <w:spacing w:line="640" w:lineRule="exact"/>
        <w:ind w:firstLine="640" w:firstLineChars="200"/>
        <w:rPr>
          <w:rFonts w:hint="eastAsia" w:ascii="仿宋_GB2312" w:eastAsia="仿宋_GB2312" w:cs="仿宋_GB2312"/>
          <w:sz w:val="32"/>
          <w:szCs w:val="32"/>
          <w:lang w:val="en-US" w:eastAsia="zh-CN"/>
        </w:rPr>
      </w:pPr>
      <w:r>
        <w:rPr>
          <w:rFonts w:ascii="仿宋_GB2312" w:eastAsia="仿宋_GB2312" w:cs="仿宋_GB2312"/>
          <w:sz w:val="32"/>
          <w:szCs w:val="32"/>
        </w:rPr>
        <w:t>2020</w:t>
      </w:r>
      <w:r>
        <w:rPr>
          <w:rFonts w:hint="eastAsia" w:ascii="仿宋_GB2312" w:eastAsia="仿宋_GB2312" w:cs="仿宋_GB2312"/>
          <w:sz w:val="32"/>
          <w:szCs w:val="32"/>
        </w:rPr>
        <w:t>年</w:t>
      </w:r>
      <w:r>
        <w:rPr>
          <w:rFonts w:ascii="仿宋_GB2312" w:eastAsia="仿宋_GB2312" w:cs="仿宋_GB2312"/>
          <w:sz w:val="32"/>
          <w:szCs w:val="32"/>
        </w:rPr>
        <w:t>8</w:t>
      </w:r>
      <w:r>
        <w:rPr>
          <w:rFonts w:hint="eastAsia" w:ascii="仿宋_GB2312" w:eastAsia="仿宋_GB2312" w:cs="仿宋_GB2312"/>
          <w:sz w:val="32"/>
          <w:szCs w:val="32"/>
        </w:rPr>
        <w:t>月收到的有效信息中</w:t>
      </w:r>
      <w:r>
        <w:rPr>
          <w:rFonts w:hint="eastAsia" w:ascii="仿宋_GB2312" w:eastAsia="仿宋_GB2312" w:cs="仿宋_GB2312"/>
          <w:sz w:val="32"/>
          <w:szCs w:val="32"/>
          <w:lang w:val="en-US" w:eastAsia="zh-CN"/>
        </w:rPr>
        <w:t>:</w:t>
      </w:r>
    </w:p>
    <w:p>
      <w:pPr>
        <w:spacing w:line="640" w:lineRule="exact"/>
        <w:ind w:firstLine="643" w:firstLineChars="200"/>
        <w:rPr>
          <w:rFonts w:hint="eastAsia" w:ascii="仿宋_GB2312" w:eastAsia="仿宋_GB2312" w:cs="仿宋_GB2312"/>
          <w:sz w:val="32"/>
          <w:szCs w:val="32"/>
          <w:lang w:val="en-US" w:eastAsia="zh-CN"/>
        </w:rPr>
      </w:pPr>
      <w:r>
        <w:rPr>
          <w:rFonts w:hint="eastAsia" w:ascii="仿宋_GB2312" w:eastAsia="仿宋_GB2312"/>
          <w:b/>
          <w:bCs/>
          <w:sz w:val="32"/>
          <w:szCs w:val="32"/>
        </w:rPr>
        <w:t>电力行业</w:t>
      </w:r>
      <w:r>
        <w:rPr>
          <w:rFonts w:hint="eastAsia" w:ascii="仿宋_GB2312" w:eastAsia="仿宋_GB2312" w:cs="仿宋_GB2312"/>
          <w:sz w:val="32"/>
          <w:szCs w:val="32"/>
          <w:lang w:val="en-US" w:eastAsia="zh-CN"/>
        </w:rPr>
        <w:t>排在首位，有效信息数量为</w:t>
      </w:r>
      <w:r>
        <w:rPr>
          <w:rFonts w:ascii="仿宋_GB2312" w:eastAsia="仿宋_GB2312" w:cs="仿宋_GB2312"/>
          <w:sz w:val="32"/>
          <w:szCs w:val="32"/>
        </w:rPr>
        <w:t>213</w:t>
      </w:r>
      <w:r>
        <w:rPr>
          <w:rFonts w:hint="eastAsia" w:ascii="仿宋_GB2312" w:eastAsia="仿宋_GB2312" w:cs="仿宋_GB2312"/>
          <w:sz w:val="32"/>
          <w:szCs w:val="32"/>
        </w:rPr>
        <w:t>件，占</w:t>
      </w:r>
      <w:r>
        <w:rPr>
          <w:rFonts w:hint="eastAsia" w:ascii="仿宋_GB2312" w:eastAsia="仿宋_GB2312" w:cs="仿宋_GB2312"/>
          <w:sz w:val="32"/>
          <w:szCs w:val="32"/>
          <w:lang w:val="en-US" w:eastAsia="zh-CN"/>
        </w:rPr>
        <w:t>全部有效信息的</w:t>
      </w:r>
      <w:r>
        <w:rPr>
          <w:rFonts w:ascii="仿宋_GB2312" w:eastAsia="仿宋_GB2312" w:cs="仿宋_GB2312"/>
          <w:sz w:val="32"/>
          <w:szCs w:val="32"/>
        </w:rPr>
        <w:t>71.00%</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其中受理的投诉举报数量4件，占全部投诉举报数量的44.44%。群众反映问题主要集中在供电服务、电力安全、成本价格和收费等方面。（2020年8月电力行业有效信息按业务分类情况见表二）</w:t>
      </w:r>
    </w:p>
    <w:p>
      <w:pPr>
        <w:spacing w:line="640" w:lineRule="exact"/>
        <w:ind w:firstLine="643" w:firstLineChars="200"/>
        <w:rPr>
          <w:rFonts w:hint="eastAsia" w:ascii="仿宋_GB2312" w:eastAsia="仿宋_GB2312" w:cs="仿宋_GB2312"/>
          <w:sz w:val="32"/>
          <w:szCs w:val="32"/>
        </w:rPr>
      </w:pPr>
      <w:r>
        <w:rPr>
          <w:rFonts w:hint="eastAsia" w:ascii="仿宋_GB2312" w:eastAsia="仿宋_GB2312"/>
          <w:b/>
          <w:bCs/>
          <w:sz w:val="32"/>
          <w:szCs w:val="32"/>
        </w:rPr>
        <w:t>新能源和可再生能源行业</w:t>
      </w:r>
      <w:r>
        <w:rPr>
          <w:rFonts w:hint="eastAsia" w:ascii="仿宋_GB2312" w:eastAsia="仿宋_GB2312"/>
          <w:sz w:val="32"/>
          <w:szCs w:val="32"/>
        </w:rPr>
        <w:t>排在第二位，有效信息数量为</w:t>
      </w:r>
      <w:r>
        <w:rPr>
          <w:rFonts w:ascii="仿宋_GB2312" w:eastAsia="仿宋_GB2312" w:cs="仿宋_GB2312"/>
          <w:sz w:val="32"/>
          <w:szCs w:val="32"/>
        </w:rPr>
        <w:t>47</w:t>
      </w:r>
      <w:r>
        <w:rPr>
          <w:rFonts w:hint="eastAsia" w:ascii="仿宋_GB2312" w:eastAsia="仿宋_GB2312" w:cs="仿宋_GB2312"/>
          <w:sz w:val="32"/>
          <w:szCs w:val="32"/>
        </w:rPr>
        <w:t>件</w:t>
      </w:r>
      <w:r>
        <w:rPr>
          <w:rFonts w:hint="eastAsia" w:ascii="仿宋_GB2312" w:eastAsia="仿宋_GB2312"/>
          <w:sz w:val="32"/>
          <w:szCs w:val="32"/>
        </w:rPr>
        <w:t>，占全部有效信息的</w:t>
      </w:r>
      <w:r>
        <w:rPr>
          <w:rFonts w:ascii="仿宋_GB2312" w:eastAsia="仿宋_GB2312" w:cs="仿宋_GB2312"/>
          <w:sz w:val="32"/>
          <w:szCs w:val="32"/>
        </w:rPr>
        <w:t>15.67%</w:t>
      </w:r>
      <w:r>
        <w:rPr>
          <w:rFonts w:hint="eastAsia" w:ascii="仿宋_GB2312" w:eastAsia="仿宋_GB2312" w:cs="仿宋_GB2312"/>
          <w:sz w:val="32"/>
          <w:szCs w:val="32"/>
        </w:rPr>
        <w:t>；</w:t>
      </w:r>
      <w:r>
        <w:rPr>
          <w:rFonts w:hint="eastAsia" w:ascii="仿宋_GB2312" w:eastAsia="仿宋_GB2312"/>
          <w:sz w:val="32"/>
          <w:szCs w:val="32"/>
        </w:rPr>
        <w:t>其中受理的投诉举报数量为</w:t>
      </w:r>
      <w:r>
        <w:rPr>
          <w:rFonts w:hint="eastAsia" w:ascii="仿宋_GB2312" w:eastAsia="仿宋_GB2312" w:cs="仿宋_GB2312"/>
          <w:sz w:val="32"/>
          <w:szCs w:val="32"/>
          <w:lang w:val="en-US" w:eastAsia="zh-CN"/>
        </w:rPr>
        <w:t>1</w:t>
      </w:r>
      <w:r>
        <w:rPr>
          <w:rFonts w:hint="eastAsia" w:ascii="仿宋_GB2312" w:eastAsia="仿宋_GB2312"/>
          <w:sz w:val="32"/>
          <w:szCs w:val="32"/>
        </w:rPr>
        <w:t>件，占全部投诉举报数量的</w:t>
      </w:r>
      <w:r>
        <w:rPr>
          <w:rFonts w:hint="eastAsia" w:ascii="仿宋_GB2312" w:eastAsia="仿宋_GB2312" w:cs="仿宋_GB2312"/>
          <w:sz w:val="32"/>
          <w:szCs w:val="32"/>
          <w:lang w:val="en-US" w:eastAsia="zh-CN"/>
        </w:rPr>
        <w:t>11.11</w:t>
      </w:r>
      <w:r>
        <w:rPr>
          <w:rFonts w:hint="eastAsia" w:ascii="仿宋_GB2312" w:eastAsia="仿宋_GB2312"/>
          <w:sz w:val="32"/>
          <w:szCs w:val="32"/>
        </w:rPr>
        <w:t>%。群众反映的问题主要集中在分布式光伏发电项目并网验收、上网电费和补贴结算等方面。</w:t>
      </w:r>
    </w:p>
    <w:p>
      <w:pPr>
        <w:spacing w:line="640" w:lineRule="exact"/>
        <w:ind w:firstLine="643" w:firstLineChars="200"/>
        <w:rPr>
          <w:rFonts w:hint="eastAsia" w:ascii="仿宋_GB2312" w:eastAsia="仿宋_GB2312"/>
          <w:sz w:val="32"/>
          <w:szCs w:val="32"/>
        </w:rPr>
      </w:pPr>
      <w:r>
        <w:rPr>
          <w:rFonts w:hint="eastAsia" w:ascii="仿宋_GB2312" w:eastAsia="仿宋_GB2312"/>
          <w:b/>
          <w:bCs/>
          <w:sz w:val="32"/>
          <w:szCs w:val="32"/>
        </w:rPr>
        <w:t>石油天然气行业</w:t>
      </w:r>
      <w:r>
        <w:rPr>
          <w:rFonts w:hint="eastAsia" w:ascii="仿宋_GB2312" w:eastAsia="仿宋_GB2312"/>
          <w:sz w:val="32"/>
          <w:szCs w:val="32"/>
        </w:rPr>
        <w:t>排在第三位，有效信息数量为</w:t>
      </w:r>
      <w:r>
        <w:rPr>
          <w:rFonts w:ascii="仿宋_GB2312" w:eastAsia="仿宋_GB2312" w:cs="仿宋_GB2312"/>
          <w:sz w:val="32"/>
          <w:szCs w:val="32"/>
        </w:rPr>
        <w:t>25</w:t>
      </w:r>
      <w:r>
        <w:rPr>
          <w:rFonts w:hint="eastAsia" w:ascii="仿宋_GB2312" w:eastAsia="仿宋_GB2312" w:cs="仿宋_GB2312"/>
          <w:sz w:val="32"/>
          <w:szCs w:val="32"/>
        </w:rPr>
        <w:t>件</w:t>
      </w:r>
      <w:r>
        <w:rPr>
          <w:rFonts w:hint="eastAsia" w:ascii="仿宋_GB2312" w:eastAsia="仿宋_GB2312"/>
          <w:sz w:val="32"/>
          <w:szCs w:val="32"/>
        </w:rPr>
        <w:t>，占全部有效信息的</w:t>
      </w:r>
      <w:r>
        <w:rPr>
          <w:rFonts w:ascii="仿宋_GB2312" w:eastAsia="仿宋_GB2312" w:cs="仿宋_GB2312"/>
          <w:sz w:val="32"/>
          <w:szCs w:val="32"/>
        </w:rPr>
        <w:t>8.33%</w:t>
      </w:r>
      <w:r>
        <w:rPr>
          <w:rFonts w:hint="eastAsia" w:ascii="仿宋_GB2312" w:eastAsia="仿宋_GB2312"/>
          <w:sz w:val="32"/>
          <w:szCs w:val="32"/>
        </w:rPr>
        <w:t>。有效信息主要集中于咨询居民燃气安装及收费、反映燃气故障问题等方面。</w:t>
      </w:r>
    </w:p>
    <w:p>
      <w:pPr>
        <w:spacing w:line="640" w:lineRule="exact"/>
        <w:ind w:firstLine="640" w:firstLineChars="200"/>
        <w:rPr>
          <w:rFonts w:ascii="仿宋_GB2312" w:eastAsia="仿宋_GB2312"/>
          <w:color w:val="000000"/>
          <w:sz w:val="32"/>
          <w:szCs w:val="32"/>
        </w:rPr>
      </w:pPr>
      <w:r>
        <w:rPr>
          <w:rFonts w:hint="eastAsia" w:ascii="仿宋_GB2312" w:eastAsia="仿宋_GB2312"/>
          <w:sz w:val="32"/>
          <w:szCs w:val="32"/>
        </w:rPr>
        <w:t>其他有效信息合计</w:t>
      </w:r>
      <w:r>
        <w:rPr>
          <w:rFonts w:hint="eastAsia" w:ascii="仿宋_GB2312" w:eastAsia="仿宋_GB2312"/>
          <w:sz w:val="32"/>
          <w:szCs w:val="32"/>
          <w:lang w:val="en-US" w:eastAsia="zh-CN"/>
        </w:rPr>
        <w:t>15</w:t>
      </w:r>
      <w:r>
        <w:rPr>
          <w:rFonts w:hint="eastAsia" w:ascii="仿宋_GB2312" w:eastAsia="仿宋_GB2312"/>
          <w:sz w:val="32"/>
          <w:szCs w:val="32"/>
        </w:rPr>
        <w:t>件，占全部有效信息的</w:t>
      </w:r>
      <w:r>
        <w:rPr>
          <w:rFonts w:hint="eastAsia" w:ascii="仿宋_GB2312" w:eastAsia="仿宋_GB2312"/>
          <w:sz w:val="32"/>
          <w:szCs w:val="32"/>
          <w:lang w:val="en-US" w:eastAsia="zh-CN"/>
        </w:rPr>
        <w:t>5.00</w:t>
      </w:r>
      <w:r>
        <w:rPr>
          <w:rFonts w:hint="eastAsia" w:ascii="仿宋_GB2312" w:eastAsia="仿宋_GB2312"/>
          <w:sz w:val="32"/>
          <w:szCs w:val="32"/>
        </w:rPr>
        <w:t>%。其中涉及</w:t>
      </w:r>
      <w:r>
        <w:rPr>
          <w:rFonts w:hint="eastAsia" w:ascii="仿宋_GB2312" w:eastAsia="仿宋_GB2312"/>
          <w:b/>
          <w:bCs/>
          <w:sz w:val="32"/>
          <w:szCs w:val="32"/>
        </w:rPr>
        <w:t>煤炭行业</w:t>
      </w:r>
      <w:r>
        <w:rPr>
          <w:rFonts w:hint="eastAsia" w:ascii="仿宋_GB2312" w:eastAsia="仿宋_GB2312"/>
          <w:sz w:val="32"/>
          <w:szCs w:val="32"/>
        </w:rPr>
        <w:t>的主要内容是咨询煤炭相关产业政策、查询煤矿项目信息等方面。</w:t>
      </w:r>
    </w:p>
    <w:p>
      <w:pPr>
        <w:spacing w:line="560" w:lineRule="exact"/>
        <w:ind w:firstLine="640" w:firstLineChars="200"/>
        <w:rPr>
          <w:rFonts w:ascii="仿宋_GB2312" w:eastAsia="仿宋_GB2312"/>
          <w:color w:val="000000"/>
          <w:sz w:val="32"/>
          <w:szCs w:val="32"/>
        </w:rPr>
      </w:pPr>
    </w:p>
    <w:p>
      <w:pPr>
        <w:widowControl/>
        <w:snapToGrid w:val="0"/>
        <w:spacing w:line="360" w:lineRule="exact"/>
        <w:jc w:val="center"/>
        <w:rPr>
          <w:rFonts w:ascii="宋体" w:cs="宋体"/>
          <w:b/>
          <w:color w:val="000000"/>
          <w:kern w:val="0"/>
          <w:sz w:val="32"/>
          <w:szCs w:val="32"/>
        </w:rPr>
      </w:pPr>
    </w:p>
    <w:p>
      <w:pPr>
        <w:widowControl/>
        <w:snapToGrid w:val="0"/>
        <w:spacing w:line="360" w:lineRule="auto"/>
        <w:jc w:val="center"/>
        <w:rPr>
          <w:rFonts w:ascii="宋体" w:cs="宋体"/>
          <w:b/>
          <w:color w:val="000000"/>
          <w:kern w:val="0"/>
          <w:sz w:val="30"/>
          <w:szCs w:val="32"/>
        </w:rPr>
      </w:pPr>
      <w:r>
        <w:rPr>
          <w:rFonts w:hint="eastAsia" w:ascii="宋体" w:hAnsi="宋体" w:cs="宋体"/>
          <w:b/>
          <w:color w:val="000000"/>
          <w:kern w:val="0"/>
          <w:sz w:val="30"/>
          <w:szCs w:val="32"/>
        </w:rPr>
        <w:t>表二</w:t>
      </w:r>
      <w:r>
        <w:rPr>
          <w:rFonts w:ascii="宋体" w:hAnsi="宋体" w:cs="宋体"/>
          <w:b/>
          <w:color w:val="000000"/>
          <w:kern w:val="0"/>
          <w:sz w:val="30"/>
          <w:szCs w:val="32"/>
        </w:rPr>
        <w:t xml:space="preserve">  </w:t>
      </w:r>
      <w:r>
        <w:rPr>
          <w:rFonts w:ascii="仿宋_GB2312" w:eastAsia="仿宋_GB2312"/>
          <w:color w:val="000000"/>
          <w:sz w:val="32"/>
        </w:rPr>
        <w:t>2020</w:t>
      </w:r>
      <w:r>
        <w:rPr>
          <w:rFonts w:hint="eastAsia" w:ascii="仿宋_GB2312" w:eastAsia="仿宋_GB2312"/>
          <w:color w:val="000000"/>
          <w:sz w:val="32"/>
        </w:rPr>
        <w:t>年</w:t>
      </w:r>
      <w:r>
        <w:rPr>
          <w:rFonts w:ascii="仿宋_GB2312" w:eastAsia="仿宋_GB2312"/>
          <w:color w:val="000000"/>
          <w:sz w:val="32"/>
        </w:rPr>
        <w:t>8</w:t>
      </w:r>
      <w:r>
        <w:rPr>
          <w:rFonts w:hint="eastAsia" w:ascii="仿宋_GB2312" w:eastAsia="仿宋_GB2312"/>
          <w:color w:val="000000"/>
          <w:sz w:val="32"/>
        </w:rPr>
        <w:t>月</w:t>
      </w:r>
      <w:r>
        <w:rPr>
          <w:rFonts w:ascii="宋体" w:hAnsi="宋体" w:cs="宋体"/>
          <w:b/>
          <w:kern w:val="0"/>
          <w:sz w:val="30"/>
          <w:szCs w:val="32"/>
        </w:rPr>
        <w:t>电力行业</w:t>
      </w:r>
      <w:r>
        <w:rPr>
          <w:rFonts w:hint="eastAsia" w:ascii="宋体" w:hAnsi="宋体" w:cs="宋体"/>
          <w:b/>
          <w:color w:val="000000"/>
          <w:kern w:val="0"/>
          <w:sz w:val="30"/>
          <w:szCs w:val="32"/>
        </w:rPr>
        <w:t>有效信息按业务分类情况</w:t>
      </w:r>
    </w:p>
    <w:p>
      <w:pPr>
        <w:widowControl/>
        <w:snapToGrid w:val="0"/>
        <w:jc w:val="right"/>
        <w:rPr>
          <w:rFonts w:ascii="宋体" w:cs="宋体"/>
          <w:b/>
          <w:color w:val="000000"/>
          <w:kern w:val="0"/>
          <w:sz w:val="30"/>
          <w:szCs w:val="32"/>
        </w:rPr>
      </w:pPr>
      <w:r>
        <w:rPr>
          <w:rFonts w:hint="eastAsia" w:ascii="宋体" w:hAnsi="宋体" w:cs="宋体"/>
          <w:color w:val="000000"/>
          <w:kern w:val="0"/>
          <w:sz w:val="24"/>
          <w:szCs w:val="28"/>
        </w:rPr>
        <w:t>单位：件</w:t>
      </w:r>
    </w:p>
    <w:tbl>
      <w:tblPr>
        <w:tblStyle w:val="6"/>
        <w:tblW w:w="0" w:type="auto"/>
        <w:jc w:val="center"/>
        <w:tblCellSpacing w:w="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
        <w:gridCol w:w="2666"/>
        <w:gridCol w:w="67"/>
        <w:gridCol w:w="1132"/>
        <w:gridCol w:w="63"/>
        <w:gridCol w:w="1175"/>
        <w:gridCol w:w="50"/>
        <w:gridCol w:w="1285"/>
        <w:gridCol w:w="59"/>
        <w:gridCol w:w="1111"/>
        <w:gridCol w:w="54"/>
        <w:gridCol w:w="1215"/>
        <w:gridCol w:w="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0" w:type="dxa"/>
          <w:trHeight w:val="510" w:hRule="atLeast"/>
          <w:tblCellSpacing w:w="20" w:type="dxa"/>
          <w:jc w:val="center"/>
        </w:trPr>
        <w:tc>
          <w:tcPr>
            <w:tcW w:w="2736" w:type="dxa"/>
            <w:gridSpan w:val="2"/>
            <w:tcBorders>
              <w:tl2br w:val="nil"/>
              <w:tr2bl w:val="nil"/>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业务类别</w:t>
            </w:r>
          </w:p>
        </w:tc>
        <w:tc>
          <w:tcPr>
            <w:tcW w:w="1199" w:type="dxa"/>
            <w:gridSpan w:val="2"/>
            <w:tcBorders>
              <w:tl2br w:val="nil"/>
              <w:tr2bl w:val="nil"/>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投诉</w:t>
            </w:r>
          </w:p>
        </w:tc>
        <w:tc>
          <w:tcPr>
            <w:tcW w:w="1238" w:type="dxa"/>
            <w:gridSpan w:val="2"/>
            <w:tcBorders>
              <w:tl2br w:val="nil"/>
              <w:tr2bl w:val="nil"/>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举报</w:t>
            </w:r>
          </w:p>
        </w:tc>
        <w:tc>
          <w:tcPr>
            <w:tcW w:w="1335" w:type="dxa"/>
            <w:gridSpan w:val="2"/>
            <w:tcBorders>
              <w:tl2br w:val="nil"/>
              <w:tr2bl w:val="nil"/>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咨询</w:t>
            </w:r>
          </w:p>
        </w:tc>
        <w:tc>
          <w:tcPr>
            <w:tcW w:w="1170" w:type="dxa"/>
            <w:gridSpan w:val="2"/>
            <w:tcBorders>
              <w:tl2br w:val="nil"/>
              <w:tr2bl w:val="nil"/>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其他</w:t>
            </w:r>
          </w:p>
        </w:tc>
        <w:tc>
          <w:tcPr>
            <w:tcW w:w="1269" w:type="dxa"/>
            <w:gridSpan w:val="2"/>
            <w:tcBorders>
              <w:tl2br w:val="nil"/>
              <w:tr2bl w:val="nil"/>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0" w:type="dxa"/>
          <w:tblCellSpacing w:w="20" w:type="dxa"/>
          <w:jc w:val="center"/>
        </w:trPr>
        <w:tc>
          <w:tcPr>
            <w:tcW w:w="36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规划和政策</w:t>
            </w:r>
          </w:p>
        </w:tc>
        <w:tc>
          <w:tcPr>
            <w:tcW w:w="16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64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8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5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72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0" w:type="dxa"/>
          <w:tblCellSpacing w:w="20" w:type="dxa"/>
          <w:jc w:val="center"/>
        </w:trPr>
        <w:tc>
          <w:tcPr>
            <w:tcW w:w="36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审批事项取消和下放</w:t>
            </w:r>
          </w:p>
        </w:tc>
        <w:tc>
          <w:tcPr>
            <w:tcW w:w="16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64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8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5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72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0" w:type="dxa"/>
          <w:tblCellSpacing w:w="20" w:type="dxa"/>
          <w:jc w:val="center"/>
        </w:trPr>
        <w:tc>
          <w:tcPr>
            <w:tcW w:w="36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项目建设</w:t>
            </w:r>
          </w:p>
        </w:tc>
        <w:tc>
          <w:tcPr>
            <w:tcW w:w="16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64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8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5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72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0" w:type="dxa"/>
          <w:tblCellSpacing w:w="20" w:type="dxa"/>
          <w:jc w:val="center"/>
        </w:trPr>
        <w:tc>
          <w:tcPr>
            <w:tcW w:w="36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电力交易</w:t>
            </w:r>
          </w:p>
        </w:tc>
        <w:tc>
          <w:tcPr>
            <w:tcW w:w="16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64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8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2</w:t>
            </w:r>
          </w:p>
        </w:tc>
        <w:tc>
          <w:tcPr>
            <w:tcW w:w="15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72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0" w:type="dxa"/>
          <w:tblCellSpacing w:w="20" w:type="dxa"/>
          <w:jc w:val="center"/>
        </w:trPr>
        <w:tc>
          <w:tcPr>
            <w:tcW w:w="36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电力安全</w:t>
            </w:r>
          </w:p>
        </w:tc>
        <w:tc>
          <w:tcPr>
            <w:tcW w:w="16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64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8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9</w:t>
            </w:r>
          </w:p>
        </w:tc>
        <w:tc>
          <w:tcPr>
            <w:tcW w:w="15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7</w:t>
            </w:r>
          </w:p>
        </w:tc>
        <w:tc>
          <w:tcPr>
            <w:tcW w:w="172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0" w:type="dxa"/>
          <w:tblCellSpacing w:w="20" w:type="dxa"/>
          <w:jc w:val="center"/>
        </w:trPr>
        <w:tc>
          <w:tcPr>
            <w:tcW w:w="36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市场准入</w:t>
            </w:r>
          </w:p>
        </w:tc>
        <w:tc>
          <w:tcPr>
            <w:tcW w:w="16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64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8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9</w:t>
            </w:r>
          </w:p>
        </w:tc>
        <w:tc>
          <w:tcPr>
            <w:tcW w:w="15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72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0" w:type="dxa"/>
          <w:tblCellSpacing w:w="20" w:type="dxa"/>
          <w:jc w:val="center"/>
        </w:trPr>
        <w:tc>
          <w:tcPr>
            <w:tcW w:w="36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供电服务</w:t>
            </w:r>
          </w:p>
        </w:tc>
        <w:tc>
          <w:tcPr>
            <w:tcW w:w="16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7</w:t>
            </w:r>
          </w:p>
        </w:tc>
        <w:tc>
          <w:tcPr>
            <w:tcW w:w="164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8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117</w:t>
            </w:r>
          </w:p>
        </w:tc>
        <w:tc>
          <w:tcPr>
            <w:tcW w:w="15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15</w:t>
            </w:r>
          </w:p>
        </w:tc>
        <w:tc>
          <w:tcPr>
            <w:tcW w:w="172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0" w:type="dxa"/>
          <w:tblCellSpacing w:w="20" w:type="dxa"/>
          <w:jc w:val="center"/>
        </w:trPr>
        <w:tc>
          <w:tcPr>
            <w:tcW w:w="36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成本价格和收费</w:t>
            </w:r>
          </w:p>
        </w:tc>
        <w:tc>
          <w:tcPr>
            <w:tcW w:w="16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64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8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22</w:t>
            </w:r>
          </w:p>
        </w:tc>
        <w:tc>
          <w:tcPr>
            <w:tcW w:w="15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w:t>
            </w:r>
          </w:p>
        </w:tc>
        <w:tc>
          <w:tcPr>
            <w:tcW w:w="172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0" w:type="dxa"/>
          <w:tblCellSpacing w:w="20" w:type="dxa"/>
          <w:jc w:val="center"/>
        </w:trPr>
        <w:tc>
          <w:tcPr>
            <w:tcW w:w="36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其他</w:t>
            </w:r>
          </w:p>
        </w:tc>
        <w:tc>
          <w:tcPr>
            <w:tcW w:w="16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64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8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24</w:t>
            </w:r>
          </w:p>
        </w:tc>
        <w:tc>
          <w:tcPr>
            <w:tcW w:w="15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72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0" w:type="dxa"/>
          <w:tblCellSpacing w:w="20" w:type="dxa"/>
          <w:jc w:val="center"/>
        </w:trPr>
        <w:tc>
          <w:tcPr>
            <w:tcW w:w="36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合计</w:t>
            </w:r>
          </w:p>
        </w:tc>
        <w:tc>
          <w:tcPr>
            <w:tcW w:w="16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7</w:t>
            </w:r>
          </w:p>
        </w:tc>
        <w:tc>
          <w:tcPr>
            <w:tcW w:w="164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8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183</w:t>
            </w:r>
          </w:p>
        </w:tc>
        <w:tc>
          <w:tcPr>
            <w:tcW w:w="15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23</w:t>
            </w:r>
          </w:p>
        </w:tc>
        <w:tc>
          <w:tcPr>
            <w:tcW w:w="172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213</w:t>
            </w:r>
          </w:p>
        </w:tc>
      </w:tr>
    </w:tbl>
    <w:p>
      <w:pPr>
        <w:spacing w:line="560" w:lineRule="exact"/>
        <w:rPr>
          <w:rFonts w:ascii="楷体_GB2312" w:eastAsia="楷体_GB2312"/>
          <w:color w:val="000000"/>
          <w:sz w:val="32"/>
        </w:rPr>
      </w:pPr>
      <w:bookmarkStart w:id="0" w:name="table1"/>
      <w:bookmarkEnd w:id="0"/>
    </w:p>
    <w:p>
      <w:pPr>
        <w:tabs>
          <w:tab w:val="left" w:pos="3668"/>
        </w:tabs>
        <w:spacing w:line="560" w:lineRule="exact"/>
        <w:ind w:firstLine="640" w:firstLineChars="200"/>
        <w:rPr>
          <w:rFonts w:hint="eastAsia" w:ascii="黑体" w:hAnsi="黑体" w:eastAsia="黑体" w:cs="黑体"/>
          <w:color w:val="000000"/>
          <w:sz w:val="32"/>
        </w:rPr>
      </w:pPr>
      <w:r>
        <w:rPr>
          <w:rFonts w:hint="eastAsia" w:ascii="黑体" w:hAnsi="黑体" w:eastAsia="黑体" w:cs="黑体"/>
          <w:color w:val="000000"/>
          <w:sz w:val="32"/>
        </w:rPr>
        <w:t>三</w:t>
      </w:r>
      <w:r>
        <w:rPr>
          <w:rFonts w:hint="eastAsia" w:ascii="黑体" w:hAnsi="黑体" w:eastAsia="黑体" w:cs="黑体"/>
          <w:color w:val="000000"/>
          <w:sz w:val="32"/>
          <w:lang w:eastAsia="zh-CN"/>
        </w:rPr>
        <w:t>、</w:t>
      </w:r>
      <w:r>
        <w:rPr>
          <w:rFonts w:hint="eastAsia" w:ascii="黑体" w:hAnsi="黑体" w:eastAsia="黑体" w:cs="黑体"/>
          <w:color w:val="000000"/>
          <w:sz w:val="32"/>
        </w:rPr>
        <w:t>分布情况</w:t>
      </w:r>
    </w:p>
    <w:p>
      <w:pPr>
        <w:spacing w:line="560" w:lineRule="exact"/>
        <w:ind w:firstLine="640" w:firstLineChars="200"/>
        <w:rPr>
          <w:rFonts w:ascii="仿宋_GB2312" w:eastAsia="仿宋_GB2312"/>
          <w:sz w:val="32"/>
        </w:rPr>
      </w:pPr>
      <w:r>
        <w:rPr>
          <w:rFonts w:hint="eastAsia" w:ascii="仿宋_GB2312" w:eastAsia="仿宋_GB2312"/>
          <w:sz w:val="32"/>
        </w:rPr>
        <w:t>各地市按照</w:t>
      </w:r>
      <w:r>
        <w:rPr>
          <w:rFonts w:hint="eastAsia" w:ascii="仿宋_GB2312" w:eastAsia="仿宋_GB2312"/>
          <w:color w:val="000000"/>
          <w:sz w:val="32"/>
        </w:rPr>
        <w:t>收到的有效信息数量排序</w:t>
      </w:r>
      <w:r>
        <w:rPr>
          <w:rFonts w:hint="eastAsia" w:ascii="仿宋_GB2312" w:eastAsia="仿宋_GB2312"/>
          <w:sz w:val="32"/>
        </w:rPr>
        <w:t>，</w:t>
      </w:r>
      <w:r>
        <w:rPr>
          <w:rFonts w:hint="eastAsia" w:ascii="仿宋_GB2312" w:eastAsia="仿宋_GB2312"/>
          <w:color w:val="000000"/>
          <w:sz w:val="32"/>
        </w:rPr>
        <w:t>吕梁市、太原市、临汾市、晋中市、大同市等</w:t>
      </w:r>
      <w:r>
        <w:rPr>
          <w:rFonts w:hint="eastAsia" w:ascii="仿宋_GB2312" w:eastAsia="仿宋_GB2312"/>
          <w:sz w:val="32"/>
        </w:rPr>
        <w:t>列辖区内前</w:t>
      </w:r>
      <w:r>
        <w:rPr>
          <w:rFonts w:hint="eastAsia" w:ascii="仿宋_GB2312" w:eastAsia="仿宋_GB2312"/>
          <w:sz w:val="32"/>
          <w:lang w:val="en-US" w:eastAsia="zh-CN"/>
        </w:rPr>
        <w:t>5</w:t>
      </w:r>
      <w:r>
        <w:rPr>
          <w:rFonts w:hint="eastAsia" w:ascii="仿宋_GB2312" w:eastAsia="仿宋_GB2312"/>
          <w:sz w:val="32"/>
        </w:rPr>
        <w:t>位；</w:t>
      </w:r>
      <w:r>
        <w:rPr>
          <w:rFonts w:hint="eastAsia" w:ascii="仿宋_GB2312" w:eastAsia="仿宋_GB2312"/>
          <w:color w:val="000000"/>
          <w:sz w:val="32"/>
        </w:rPr>
        <w:t>按照投诉举报数量排序，大同市、运城市、晋城市、晋中市、临汾市等</w:t>
      </w:r>
      <w:r>
        <w:rPr>
          <w:rFonts w:hint="eastAsia" w:ascii="仿宋_GB2312" w:eastAsia="仿宋_GB2312"/>
          <w:sz w:val="32"/>
        </w:rPr>
        <w:t>排在辖区内前</w:t>
      </w:r>
      <w:r>
        <w:rPr>
          <w:rFonts w:hint="eastAsia" w:ascii="仿宋_GB2312" w:eastAsia="仿宋_GB2312"/>
          <w:sz w:val="32"/>
          <w:lang w:val="en-US" w:eastAsia="zh-CN"/>
        </w:rPr>
        <w:t>5</w:t>
      </w:r>
      <w:r>
        <w:rPr>
          <w:rFonts w:hint="eastAsia" w:ascii="仿宋_GB2312" w:eastAsia="仿宋_GB2312"/>
          <w:sz w:val="32"/>
        </w:rPr>
        <w:t>位。（2020年8月有效信息及投诉举报排名前</w:t>
      </w:r>
      <w:r>
        <w:rPr>
          <w:rFonts w:hint="eastAsia" w:ascii="仿宋_GB2312" w:eastAsia="仿宋_GB2312"/>
          <w:sz w:val="32"/>
          <w:lang w:val="en-US" w:eastAsia="zh-CN"/>
        </w:rPr>
        <w:t>5</w:t>
      </w:r>
      <w:r>
        <w:rPr>
          <w:rFonts w:hint="eastAsia" w:ascii="仿宋_GB2312" w:eastAsia="仿宋_GB2312"/>
          <w:sz w:val="32"/>
        </w:rPr>
        <w:t>位情况见表三）</w:t>
      </w:r>
    </w:p>
    <w:p>
      <w:pPr>
        <w:widowControl/>
        <w:snapToGrid w:val="0"/>
        <w:spacing w:before="120" w:beforeLines="50" w:line="360" w:lineRule="auto"/>
        <w:jc w:val="center"/>
        <w:rPr>
          <w:rFonts w:ascii="宋体" w:hAnsi="宋体" w:cs="宋体"/>
          <w:b/>
          <w:color w:val="000000"/>
          <w:kern w:val="0"/>
          <w:sz w:val="30"/>
          <w:szCs w:val="32"/>
        </w:rPr>
      </w:pPr>
      <w:r>
        <w:rPr>
          <w:rFonts w:hint="eastAsia" w:ascii="宋体" w:hAnsi="宋体" w:cs="宋体"/>
          <w:b/>
          <w:color w:val="000000"/>
          <w:kern w:val="0"/>
          <w:sz w:val="30"/>
          <w:szCs w:val="32"/>
        </w:rPr>
        <w:t xml:space="preserve">表三 </w:t>
      </w:r>
      <w:r>
        <w:rPr>
          <w:rFonts w:hint="eastAsia" w:ascii="仿宋_GB2312" w:eastAsia="仿宋_GB2312"/>
          <w:color w:val="000000"/>
          <w:sz w:val="32"/>
        </w:rPr>
        <w:t>2020年8月</w:t>
      </w:r>
      <w:r>
        <w:rPr>
          <w:rFonts w:hint="eastAsia" w:ascii="宋体" w:hAnsi="宋体" w:cs="宋体"/>
          <w:b/>
          <w:color w:val="000000"/>
          <w:kern w:val="0"/>
          <w:sz w:val="30"/>
          <w:szCs w:val="32"/>
        </w:rPr>
        <w:t>有效信息及投诉举报排名前</w:t>
      </w:r>
      <w:r>
        <w:rPr>
          <w:rFonts w:hint="eastAsia" w:ascii="宋体" w:hAnsi="宋体" w:cs="宋体"/>
          <w:b/>
          <w:color w:val="000000"/>
          <w:kern w:val="0"/>
          <w:sz w:val="30"/>
          <w:szCs w:val="32"/>
          <w:lang w:val="en-US" w:eastAsia="zh-CN"/>
        </w:rPr>
        <w:t>5</w:t>
      </w:r>
      <w:r>
        <w:rPr>
          <w:rFonts w:hint="eastAsia" w:ascii="宋体" w:hAnsi="宋体" w:cs="宋体"/>
          <w:b/>
          <w:color w:val="000000"/>
          <w:kern w:val="0"/>
          <w:sz w:val="30"/>
          <w:szCs w:val="32"/>
        </w:rPr>
        <w:t>位情况</w:t>
      </w:r>
    </w:p>
    <w:p>
      <w:pPr>
        <w:widowControl/>
        <w:snapToGrid w:val="0"/>
        <w:spacing w:line="360" w:lineRule="exact"/>
        <w:jc w:val="right"/>
        <w:rPr>
          <w:rFonts w:ascii="宋体" w:hAnsi="宋体" w:cs="宋体"/>
          <w:color w:val="000000"/>
          <w:kern w:val="0"/>
          <w:sz w:val="24"/>
          <w:szCs w:val="28"/>
        </w:rPr>
      </w:pPr>
      <w:r>
        <w:rPr>
          <w:rFonts w:hint="eastAsia" w:ascii="宋体" w:hAnsi="宋体" w:cs="宋体"/>
          <w:color w:val="000000"/>
          <w:kern w:val="0"/>
          <w:sz w:val="24"/>
          <w:szCs w:val="28"/>
          <w:lang w:val="en-US" w:eastAsia="zh-CN"/>
        </w:rPr>
        <w:t xml:space="preserve"> </w:t>
      </w:r>
      <w:r>
        <w:rPr>
          <w:rFonts w:hint="eastAsia" w:ascii="宋体" w:hAnsi="宋体" w:cs="宋体"/>
          <w:color w:val="000000"/>
          <w:kern w:val="0"/>
          <w:sz w:val="24"/>
          <w:szCs w:val="28"/>
        </w:rPr>
        <w:t>单位：</w:t>
      </w:r>
      <w:r>
        <w:rPr>
          <w:rFonts w:hint="eastAsia" w:ascii="宋体" w:hAnsi="宋体" w:cs="宋体"/>
          <w:color w:val="000000"/>
          <w:kern w:val="0"/>
          <w:sz w:val="24"/>
          <w:szCs w:val="24"/>
        </w:rPr>
        <w:t>件</w:t>
      </w:r>
    </w:p>
    <w:tbl>
      <w:tblPr>
        <w:tblStyle w:val="6"/>
        <w:tblW w:w="8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375"/>
        <w:gridCol w:w="1125"/>
        <w:gridCol w:w="2375"/>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811" w:type="dxa"/>
            <w:vMerge w:val="restart"/>
            <w:vAlign w:val="center"/>
          </w:tcPr>
          <w:p>
            <w:pPr>
              <w:spacing w:line="560" w:lineRule="exact"/>
              <w:jc w:val="center"/>
              <w:rPr>
                <w:rFonts w:hint="eastAsia" w:ascii="黑体" w:eastAsia="黑体"/>
                <w:color w:val="000000"/>
                <w:sz w:val="32"/>
              </w:rPr>
            </w:pPr>
            <w:r>
              <w:rPr>
                <w:rFonts w:hint="eastAsia" w:ascii="仿宋_GB2312" w:hAnsi="黑体" w:eastAsia="仿宋_GB2312" w:cs="仿宋_GB2312"/>
                <w:color w:val="000000"/>
                <w:kern w:val="0"/>
                <w:sz w:val="24"/>
                <w:szCs w:val="24"/>
              </w:rPr>
              <w:t>排序</w:t>
            </w:r>
          </w:p>
        </w:tc>
        <w:tc>
          <w:tcPr>
            <w:tcW w:w="3500" w:type="dxa"/>
            <w:gridSpan w:val="2"/>
            <w:vAlign w:val="center"/>
          </w:tcPr>
          <w:p>
            <w:pPr>
              <w:spacing w:line="56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接收有效信息</w:t>
            </w:r>
          </w:p>
        </w:tc>
        <w:tc>
          <w:tcPr>
            <w:tcW w:w="4389" w:type="dxa"/>
            <w:gridSpan w:val="2"/>
            <w:vAlign w:val="center"/>
          </w:tcPr>
          <w:p>
            <w:pPr>
              <w:spacing w:line="56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接收投诉举报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811" w:type="dxa"/>
            <w:vMerge w:val="continue"/>
            <w:vAlign w:val="center"/>
          </w:tcPr>
          <w:p>
            <w:pPr>
              <w:spacing w:line="560" w:lineRule="exact"/>
              <w:jc w:val="center"/>
            </w:pPr>
          </w:p>
        </w:tc>
        <w:tc>
          <w:tcPr>
            <w:tcW w:w="2375" w:type="dxa"/>
            <w:vAlign w:val="center"/>
          </w:tcPr>
          <w:p>
            <w:pPr>
              <w:spacing w:line="5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地市</w:t>
            </w:r>
          </w:p>
        </w:tc>
        <w:tc>
          <w:tcPr>
            <w:tcW w:w="1125" w:type="dxa"/>
            <w:vAlign w:val="center"/>
          </w:tcPr>
          <w:p>
            <w:pPr>
              <w:spacing w:line="560" w:lineRule="exact"/>
              <w:jc w:val="center"/>
              <w:rPr>
                <w:rFonts w:hint="eastAsia" w:ascii="宋体" w:hAnsi="宋体" w:eastAsia="宋体" w:cs="宋体"/>
                <w:color w:val="000000"/>
                <w:sz w:val="21"/>
                <w:szCs w:val="21"/>
              </w:rPr>
            </w:pPr>
            <w:r>
              <w:rPr>
                <w:rFonts w:hint="eastAsia" w:ascii="宋体" w:hAnsi="宋体" w:eastAsia="宋体" w:cs="宋体"/>
                <w:b w:val="0"/>
                <w:bCs w:val="0"/>
                <w:color w:val="000000"/>
                <w:kern w:val="0"/>
                <w:sz w:val="21"/>
                <w:szCs w:val="21"/>
              </w:rPr>
              <w:t>数量</w:t>
            </w:r>
          </w:p>
        </w:tc>
        <w:tc>
          <w:tcPr>
            <w:tcW w:w="2375" w:type="dxa"/>
            <w:vAlign w:val="center"/>
          </w:tcPr>
          <w:p>
            <w:pPr>
              <w:spacing w:line="56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地市</w:t>
            </w:r>
          </w:p>
        </w:tc>
        <w:tc>
          <w:tcPr>
            <w:tcW w:w="2014" w:type="dxa"/>
            <w:vAlign w:val="center"/>
          </w:tcPr>
          <w:p>
            <w:pPr>
              <w:spacing w:line="56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811" w:type="dxa"/>
            <w:vMerge w:val="restart"/>
            <w:vAlign w:val="center"/>
          </w:tcPr>
          <w:p>
            <w:pPr>
              <w:spacing w:line="560" w:lineRule="exact"/>
              <w:jc w:val="center"/>
              <w:rPr>
                <w:rFonts w:hint="eastAsia" w:ascii="黑体" w:eastAsia="黑体"/>
                <w:color w:val="000000"/>
                <w:sz w:val="32"/>
              </w:rPr>
            </w:pPr>
            <w:r>
              <w:rPr>
                <w:rFonts w:hint="eastAsia" w:ascii="黑体" w:eastAsia="黑体"/>
                <w:color w:val="000000"/>
                <w:sz w:val="32"/>
              </w:rPr>
              <w:t>1</w:t>
            </w:r>
          </w:p>
        </w:tc>
        <w:tc>
          <w:tcPr>
            <w:tcW w:w="2375"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吕梁市</w:t>
            </w:r>
          </w:p>
        </w:tc>
        <w:tc>
          <w:tcPr>
            <w:tcW w:w="1125"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57</w:t>
            </w:r>
          </w:p>
        </w:tc>
        <w:tc>
          <w:tcPr>
            <w:tcW w:w="2375" w:type="dxa"/>
            <w:vMerge w:val="restart"/>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大同市</w:t>
            </w:r>
          </w:p>
        </w:tc>
        <w:tc>
          <w:tcPr>
            <w:tcW w:w="2014" w:type="dxa"/>
            <w:vMerge w:val="restart"/>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811" w:type="dxa"/>
            <w:vMerge w:val="continue"/>
            <w:vAlign w:val="center"/>
          </w:tcPr>
          <w:p>
            <w:pPr>
              <w:spacing w:line="560" w:lineRule="exact"/>
              <w:jc w:val="center"/>
            </w:pPr>
          </w:p>
        </w:tc>
        <w:tc>
          <w:tcPr>
            <w:tcW w:w="2375" w:type="dxa"/>
            <w:vAlign w:val="center"/>
          </w:tcPr>
          <w:p>
            <w:pPr>
              <w:spacing w:line="560" w:lineRule="exact"/>
              <w:jc w:val="center"/>
              <w:rPr>
                <w:rFonts w:hint="default"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其中:地方电力区域</w:t>
            </w:r>
          </w:p>
        </w:tc>
        <w:tc>
          <w:tcPr>
            <w:tcW w:w="1125" w:type="dxa"/>
            <w:vAlign w:val="center"/>
          </w:tcPr>
          <w:p>
            <w:pPr>
              <w:spacing w:line="560" w:lineRule="exact"/>
              <w:jc w:val="center"/>
              <w:rPr>
                <w:rFonts w:hint="default"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41</w:t>
            </w:r>
          </w:p>
        </w:tc>
        <w:tc>
          <w:tcPr>
            <w:tcW w:w="2375" w:type="dxa"/>
            <w:vMerge w:val="continue"/>
            <w:vAlign w:val="center"/>
          </w:tcPr>
          <w:p>
            <w:pPr>
              <w:spacing w:line="560" w:lineRule="exact"/>
              <w:jc w:val="center"/>
              <w:rPr>
                <w:rFonts w:ascii="仿宋_GB2312" w:hAnsi="宋体" w:eastAsia="仿宋_GB2312" w:cs="仿宋_GB2312"/>
                <w:sz w:val="24"/>
                <w:szCs w:val="24"/>
              </w:rPr>
            </w:pPr>
          </w:p>
        </w:tc>
        <w:tc>
          <w:tcPr>
            <w:tcW w:w="2014" w:type="dxa"/>
            <w:vMerge w:val="continue"/>
            <w:vAlign w:val="center"/>
          </w:tcPr>
          <w:p>
            <w:pPr>
              <w:spacing w:line="560" w:lineRule="exact"/>
              <w:jc w:val="center"/>
              <w:rPr>
                <w:rFonts w:ascii="仿宋_GB2312" w:hAnsi="宋体"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11" w:type="dxa"/>
            <w:vAlign w:val="center"/>
          </w:tcPr>
          <w:p>
            <w:pPr>
              <w:spacing w:line="560" w:lineRule="exact"/>
              <w:jc w:val="center"/>
              <w:rPr>
                <w:rFonts w:hint="eastAsia" w:ascii="黑体" w:eastAsia="黑体"/>
                <w:color w:val="000000"/>
                <w:sz w:val="32"/>
              </w:rPr>
            </w:pPr>
            <w:r>
              <w:rPr>
                <w:rFonts w:hint="eastAsia" w:ascii="黑体" w:eastAsia="黑体"/>
                <w:color w:val="000000"/>
                <w:sz w:val="32"/>
              </w:rPr>
              <w:t>2</w:t>
            </w:r>
          </w:p>
        </w:tc>
        <w:tc>
          <w:tcPr>
            <w:tcW w:w="2375"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太原市</w:t>
            </w:r>
          </w:p>
        </w:tc>
        <w:tc>
          <w:tcPr>
            <w:tcW w:w="1125"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44</w:t>
            </w:r>
          </w:p>
        </w:tc>
        <w:tc>
          <w:tcPr>
            <w:tcW w:w="2375"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运城市</w:t>
            </w:r>
          </w:p>
        </w:tc>
        <w:tc>
          <w:tcPr>
            <w:tcW w:w="2014"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811" w:type="dxa"/>
            <w:vMerge w:val="restart"/>
            <w:vAlign w:val="center"/>
          </w:tcPr>
          <w:p>
            <w:pPr>
              <w:spacing w:line="560" w:lineRule="exact"/>
              <w:jc w:val="center"/>
              <w:rPr>
                <w:rFonts w:hint="eastAsia" w:ascii="黑体" w:eastAsia="黑体"/>
                <w:color w:val="000000"/>
                <w:sz w:val="32"/>
              </w:rPr>
            </w:pPr>
            <w:r>
              <w:rPr>
                <w:rFonts w:hint="eastAsia" w:ascii="黑体" w:eastAsia="黑体"/>
                <w:color w:val="000000"/>
                <w:sz w:val="32"/>
              </w:rPr>
              <w:t>3</w:t>
            </w:r>
          </w:p>
        </w:tc>
        <w:tc>
          <w:tcPr>
            <w:tcW w:w="2375"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临汾市</w:t>
            </w:r>
          </w:p>
        </w:tc>
        <w:tc>
          <w:tcPr>
            <w:tcW w:w="1125"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38</w:t>
            </w:r>
          </w:p>
        </w:tc>
        <w:tc>
          <w:tcPr>
            <w:tcW w:w="2375" w:type="dxa"/>
            <w:vMerge w:val="restart"/>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晋城市</w:t>
            </w:r>
          </w:p>
        </w:tc>
        <w:tc>
          <w:tcPr>
            <w:tcW w:w="2014" w:type="dxa"/>
            <w:vMerge w:val="restart"/>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811" w:type="dxa"/>
            <w:vMerge w:val="continue"/>
            <w:vAlign w:val="center"/>
          </w:tcPr>
          <w:p>
            <w:pPr>
              <w:spacing w:line="560" w:lineRule="exact"/>
              <w:jc w:val="center"/>
            </w:pPr>
          </w:p>
        </w:tc>
        <w:tc>
          <w:tcPr>
            <w:tcW w:w="2375" w:type="dxa"/>
            <w:vAlign w:val="center"/>
          </w:tcPr>
          <w:p>
            <w:pPr>
              <w:spacing w:line="560" w:lineRule="exact"/>
              <w:jc w:val="center"/>
              <w:rPr>
                <w:rFonts w:hint="eastAsia"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其中:地方电力区域</w:t>
            </w:r>
          </w:p>
        </w:tc>
        <w:tc>
          <w:tcPr>
            <w:tcW w:w="1125" w:type="dxa"/>
            <w:vAlign w:val="center"/>
          </w:tcPr>
          <w:p>
            <w:pPr>
              <w:spacing w:line="560" w:lineRule="exact"/>
              <w:jc w:val="center"/>
              <w:rPr>
                <w:rFonts w:hint="eastAsia"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4</w:t>
            </w:r>
          </w:p>
        </w:tc>
        <w:tc>
          <w:tcPr>
            <w:tcW w:w="2375" w:type="dxa"/>
            <w:vMerge w:val="continue"/>
            <w:vAlign w:val="center"/>
          </w:tcPr>
          <w:p>
            <w:pPr>
              <w:spacing w:line="560" w:lineRule="exact"/>
              <w:jc w:val="center"/>
              <w:rPr>
                <w:rFonts w:ascii="仿宋_GB2312" w:hAnsi="宋体" w:eastAsia="仿宋_GB2312" w:cs="仿宋_GB2312"/>
                <w:sz w:val="24"/>
                <w:szCs w:val="24"/>
              </w:rPr>
            </w:pPr>
          </w:p>
        </w:tc>
        <w:tc>
          <w:tcPr>
            <w:tcW w:w="2014" w:type="dxa"/>
            <w:vMerge w:val="continue"/>
            <w:vAlign w:val="center"/>
          </w:tcPr>
          <w:p>
            <w:pPr>
              <w:spacing w:line="560" w:lineRule="exact"/>
              <w:jc w:val="center"/>
              <w:rPr>
                <w:rFonts w:ascii="仿宋_GB2312" w:hAnsi="宋体"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11" w:type="dxa"/>
            <w:vAlign w:val="center"/>
          </w:tcPr>
          <w:p>
            <w:pPr>
              <w:spacing w:line="560" w:lineRule="exact"/>
              <w:jc w:val="center"/>
              <w:rPr>
                <w:rFonts w:hint="eastAsia" w:ascii="黑体" w:eastAsia="黑体"/>
                <w:color w:val="000000"/>
                <w:sz w:val="32"/>
              </w:rPr>
            </w:pPr>
            <w:r>
              <w:rPr>
                <w:rFonts w:hint="eastAsia" w:ascii="黑体" w:eastAsia="黑体"/>
                <w:color w:val="000000"/>
                <w:sz w:val="32"/>
              </w:rPr>
              <w:t>4</w:t>
            </w:r>
          </w:p>
        </w:tc>
        <w:tc>
          <w:tcPr>
            <w:tcW w:w="2375"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晋中市</w:t>
            </w:r>
          </w:p>
        </w:tc>
        <w:tc>
          <w:tcPr>
            <w:tcW w:w="1125"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32</w:t>
            </w:r>
          </w:p>
        </w:tc>
        <w:tc>
          <w:tcPr>
            <w:tcW w:w="2375"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晋中市</w:t>
            </w:r>
          </w:p>
        </w:tc>
        <w:tc>
          <w:tcPr>
            <w:tcW w:w="2014"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811" w:type="dxa"/>
            <w:vMerge w:val="restart"/>
            <w:vAlign w:val="center"/>
          </w:tcPr>
          <w:p>
            <w:pPr>
              <w:spacing w:line="560" w:lineRule="exact"/>
              <w:jc w:val="center"/>
              <w:rPr>
                <w:rFonts w:hint="eastAsia" w:ascii="黑体" w:eastAsia="黑体"/>
                <w:color w:val="000000"/>
                <w:sz w:val="32"/>
              </w:rPr>
            </w:pPr>
            <w:r>
              <w:rPr>
                <w:rFonts w:hint="eastAsia" w:ascii="黑体" w:eastAsia="黑体"/>
                <w:color w:val="000000"/>
                <w:sz w:val="32"/>
              </w:rPr>
              <w:t>5</w:t>
            </w:r>
          </w:p>
        </w:tc>
        <w:tc>
          <w:tcPr>
            <w:tcW w:w="2375" w:type="dxa"/>
            <w:vMerge w:val="restart"/>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大同市</w:t>
            </w:r>
          </w:p>
        </w:tc>
        <w:tc>
          <w:tcPr>
            <w:tcW w:w="1125" w:type="dxa"/>
            <w:vMerge w:val="restart"/>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26</w:t>
            </w:r>
          </w:p>
        </w:tc>
        <w:tc>
          <w:tcPr>
            <w:tcW w:w="2375"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临汾市</w:t>
            </w:r>
          </w:p>
        </w:tc>
        <w:tc>
          <w:tcPr>
            <w:tcW w:w="2014"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811" w:type="dxa"/>
            <w:vMerge w:val="continue"/>
            <w:vAlign w:val="center"/>
          </w:tcPr>
          <w:p>
            <w:pPr>
              <w:spacing w:line="560" w:lineRule="exact"/>
              <w:jc w:val="center"/>
            </w:pPr>
          </w:p>
        </w:tc>
        <w:tc>
          <w:tcPr>
            <w:tcW w:w="2375" w:type="dxa"/>
            <w:vMerge w:val="continue"/>
            <w:vAlign w:val="center"/>
          </w:tcPr>
          <w:p>
            <w:pPr>
              <w:spacing w:line="560" w:lineRule="exact"/>
              <w:jc w:val="center"/>
            </w:pPr>
          </w:p>
        </w:tc>
        <w:tc>
          <w:tcPr>
            <w:tcW w:w="1125" w:type="dxa"/>
            <w:vMerge w:val="continue"/>
            <w:vAlign w:val="center"/>
          </w:tcPr>
          <w:p>
            <w:pPr>
              <w:spacing w:line="560" w:lineRule="exact"/>
              <w:jc w:val="center"/>
            </w:pPr>
          </w:p>
        </w:tc>
        <w:tc>
          <w:tcPr>
            <w:tcW w:w="2375" w:type="dxa"/>
            <w:vAlign w:val="center"/>
          </w:tcPr>
          <w:p>
            <w:pPr>
              <w:spacing w:line="560" w:lineRule="exact"/>
              <w:jc w:val="center"/>
              <w:rPr>
                <w:rFonts w:hint="eastAsia"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其中:地方电力区域</w:t>
            </w:r>
          </w:p>
        </w:tc>
        <w:tc>
          <w:tcPr>
            <w:tcW w:w="2014" w:type="dxa"/>
            <w:vAlign w:val="center"/>
          </w:tcPr>
          <w:p>
            <w:pPr>
              <w:spacing w:line="560" w:lineRule="exact"/>
              <w:jc w:val="center"/>
              <w:rPr>
                <w:rFonts w:hint="eastAsia"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0</w:t>
            </w:r>
          </w:p>
        </w:tc>
      </w:tr>
    </w:tbl>
    <w:p>
      <w:pPr>
        <w:spacing w:line="560" w:lineRule="exact"/>
        <w:rPr>
          <w:rFonts w:hint="eastAsia" w:ascii="黑体" w:eastAsia="黑体"/>
          <w:color w:val="000000"/>
          <w:sz w:val="32"/>
        </w:rPr>
      </w:pPr>
    </w:p>
    <w:p>
      <w:pPr>
        <w:spacing w:line="560" w:lineRule="exact"/>
        <w:ind w:firstLine="640" w:firstLineChars="200"/>
        <w:rPr>
          <w:rFonts w:ascii="黑体" w:eastAsia="黑体"/>
          <w:color w:val="000000"/>
          <w:sz w:val="32"/>
        </w:rPr>
      </w:pPr>
      <w:r>
        <w:rPr>
          <w:rFonts w:hint="eastAsia" w:ascii="黑体" w:eastAsia="黑体"/>
          <w:color w:val="000000"/>
          <w:sz w:val="32"/>
          <w:lang w:val="en-US" w:eastAsia="zh-CN"/>
        </w:rPr>
        <w:t>四</w:t>
      </w:r>
      <w:r>
        <w:rPr>
          <w:rFonts w:hint="eastAsia" w:ascii="黑体" w:eastAsia="黑体"/>
          <w:color w:val="000000"/>
          <w:sz w:val="32"/>
        </w:rPr>
        <w:t>、主要问题</w:t>
      </w:r>
    </w:p>
    <w:p>
      <w:pPr>
        <w:spacing w:line="600" w:lineRule="exact"/>
        <w:ind w:firstLine="640" w:firstLineChars="200"/>
        <w:rPr>
          <w:rFonts w:ascii="楷体_GB2312" w:eastAsia="楷体_GB2312" w:cs="楷体_GB2312"/>
          <w:color w:val="000000"/>
          <w:sz w:val="32"/>
          <w:szCs w:val="32"/>
        </w:rPr>
      </w:pPr>
      <w:r>
        <w:rPr>
          <w:rFonts w:hint="eastAsia" w:ascii="楷体_GB2312" w:eastAsia="楷体_GB2312" w:cs="楷体_GB2312"/>
          <w:color w:val="000000"/>
          <w:sz w:val="32"/>
          <w:szCs w:val="32"/>
        </w:rPr>
        <w:t>（一）主要问题</w:t>
      </w:r>
    </w:p>
    <w:p>
      <w:pPr>
        <w:widowControl/>
        <w:shd w:val="clear" w:color="auto" w:fill="FFFFFF"/>
        <w:spacing w:before="225" w:line="450" w:lineRule="atLeas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shd w:val="clear" w:color="auto" w:fill="FFFFFF"/>
        </w:rPr>
        <w:t>投诉举报反映的问题主要集中在电力行业，其次是新能源和可再生能源行业。</w:t>
      </w:r>
    </w:p>
    <w:p>
      <w:pPr>
        <w:keepNext w:val="0"/>
        <w:keepLines w:val="0"/>
        <w:pageBreakBefore w:val="0"/>
        <w:widowControl/>
        <w:shd w:val="clear" w:color="auto" w:fill="FFFFFF"/>
        <w:kinsoku/>
        <w:wordWrap/>
        <w:overflowPunct/>
        <w:topLinePunct w:val="0"/>
        <w:autoSpaceDE/>
        <w:autoSpaceDN/>
        <w:bidi w:val="0"/>
        <w:adjustRightInd/>
        <w:snapToGrid/>
        <w:spacing w:before="225" w:line="560" w:lineRule="exact"/>
        <w:jc w:val="left"/>
        <w:textAlignment w:val="auto"/>
        <w:rPr>
          <w:rFonts w:hint="default" w:ascii="仿宋" w:hAnsi="仿宋" w:eastAsia="仿宋" w:cs="仿宋"/>
          <w:color w:val="000000"/>
          <w:kern w:val="0"/>
          <w:sz w:val="32"/>
          <w:szCs w:val="32"/>
          <w:lang w:val="en-US" w:eastAsia="zh-CN"/>
        </w:rPr>
      </w:pPr>
      <w:r>
        <w:rPr>
          <w:rFonts w:hint="eastAsia" w:ascii="宋体" w:hAnsi="宋体" w:cs="宋体"/>
          <w:color w:val="000000"/>
          <w:kern w:val="0"/>
          <w:sz w:val="32"/>
          <w:szCs w:val="32"/>
          <w:shd w:val="clear" w:color="auto" w:fill="FFFFFF"/>
        </w:rPr>
        <w:t>  </w:t>
      </w:r>
      <w:r>
        <w:rPr>
          <w:rFonts w:hint="eastAsia" w:ascii="仿宋" w:hAnsi="仿宋" w:eastAsia="仿宋" w:cs="仿宋"/>
          <w:color w:val="000000"/>
          <w:kern w:val="0"/>
          <w:sz w:val="32"/>
          <w:szCs w:val="32"/>
          <w:shd w:val="clear" w:color="auto" w:fill="FFFFFF"/>
        </w:rPr>
        <w:t>电力行业在供电服务、成本价格及收费、电力安全等方面反映的问题</w:t>
      </w:r>
      <w:r>
        <w:rPr>
          <w:rFonts w:ascii="仿宋" w:hAnsi="仿宋" w:eastAsia="仿宋" w:cs="仿宋"/>
          <w:color w:val="000000"/>
          <w:kern w:val="0"/>
          <w:sz w:val="32"/>
          <w:szCs w:val="32"/>
          <w:shd w:val="clear" w:color="auto" w:fill="FFFFFF"/>
        </w:rPr>
        <w:t>:</w:t>
      </w:r>
      <w:r>
        <w:rPr>
          <w:rFonts w:hint="eastAsia" w:ascii="仿宋" w:hAnsi="仿宋" w:eastAsia="仿宋" w:cs="仿宋"/>
          <w:color w:val="000000"/>
          <w:kern w:val="0"/>
          <w:sz w:val="32"/>
          <w:szCs w:val="32"/>
          <w:shd w:val="clear" w:color="auto" w:fill="FFFFFF"/>
        </w:rPr>
        <w:t>一是部分地区</w:t>
      </w:r>
      <w:r>
        <w:rPr>
          <w:rFonts w:hint="eastAsia" w:ascii="仿宋" w:hAnsi="仿宋" w:eastAsia="仿宋" w:cs="仿宋"/>
          <w:color w:val="000000"/>
          <w:kern w:val="0"/>
          <w:sz w:val="32"/>
          <w:szCs w:val="32"/>
          <w:shd w:val="clear" w:color="auto" w:fill="FFFFFF"/>
          <w:lang w:val="en-US" w:eastAsia="zh-CN"/>
        </w:rPr>
        <w:t>低电压</w:t>
      </w:r>
      <w:r>
        <w:rPr>
          <w:rFonts w:hint="eastAsia" w:ascii="仿宋" w:hAnsi="仿宋" w:eastAsia="仿宋" w:cs="仿宋"/>
          <w:color w:val="000000"/>
          <w:kern w:val="0"/>
          <w:sz w:val="32"/>
          <w:szCs w:val="32"/>
          <w:shd w:val="clear" w:color="auto" w:fill="FFFFFF"/>
        </w:rPr>
        <w:t>，</w:t>
      </w:r>
      <w:r>
        <w:rPr>
          <w:rFonts w:hint="eastAsia" w:ascii="仿宋" w:hAnsi="仿宋" w:eastAsia="仿宋" w:cs="仿宋"/>
          <w:color w:val="000000"/>
          <w:kern w:val="0"/>
          <w:sz w:val="32"/>
          <w:szCs w:val="32"/>
          <w:shd w:val="clear" w:color="auto" w:fill="FFFFFF"/>
          <w:lang w:val="en-US" w:eastAsia="zh-CN"/>
        </w:rPr>
        <w:t>严重</w:t>
      </w:r>
      <w:r>
        <w:rPr>
          <w:rFonts w:hint="eastAsia" w:ascii="仿宋" w:hAnsi="仿宋" w:eastAsia="仿宋" w:cs="仿宋"/>
          <w:color w:val="000000"/>
          <w:kern w:val="0"/>
          <w:sz w:val="32"/>
          <w:szCs w:val="32"/>
          <w:shd w:val="clear" w:color="auto" w:fill="FFFFFF"/>
        </w:rPr>
        <w:t>影响群众正常生产生活</w:t>
      </w:r>
      <w:r>
        <w:rPr>
          <w:rFonts w:hint="eastAsia" w:ascii="仿宋" w:hAnsi="仿宋" w:eastAsia="仿宋" w:cs="仿宋"/>
          <w:color w:val="000000"/>
          <w:kern w:val="0"/>
          <w:sz w:val="32"/>
          <w:szCs w:val="32"/>
          <w:shd w:val="clear" w:color="auto" w:fill="FFFFFF"/>
          <w:lang w:eastAsia="zh-CN"/>
        </w:rPr>
        <w:t>。</w:t>
      </w:r>
      <w:r>
        <w:rPr>
          <w:rFonts w:hint="eastAsia" w:ascii="仿宋" w:hAnsi="仿宋" w:eastAsia="仿宋" w:cs="仿宋"/>
          <w:color w:val="000000"/>
          <w:kern w:val="0"/>
          <w:sz w:val="32"/>
          <w:szCs w:val="32"/>
          <w:shd w:val="clear" w:color="auto" w:fill="FFFFFF"/>
          <w:lang w:val="en-US" w:eastAsia="zh-CN"/>
        </w:rPr>
        <w:t>如：运城市芮城县风陵渡镇中瑶村用户反映该地区低电压严重,影响花椒的烘干</w:t>
      </w:r>
      <w:r>
        <w:rPr>
          <w:rFonts w:hint="eastAsia" w:ascii="仿宋" w:hAnsi="仿宋" w:eastAsia="仿宋" w:cs="仿宋"/>
          <w:color w:val="000000"/>
          <w:kern w:val="0"/>
          <w:sz w:val="32"/>
          <w:szCs w:val="32"/>
          <w:shd w:val="clear" w:color="auto" w:fill="FFFFFF"/>
        </w:rPr>
        <w:t>；二是部分地区</w:t>
      </w:r>
      <w:r>
        <w:rPr>
          <w:rFonts w:hint="eastAsia" w:ascii="仿宋" w:hAnsi="仿宋" w:eastAsia="仿宋" w:cs="仿宋"/>
          <w:color w:val="000000"/>
          <w:kern w:val="0"/>
          <w:sz w:val="32"/>
          <w:szCs w:val="32"/>
          <w:shd w:val="clear" w:color="auto" w:fill="FFFFFF"/>
          <w:lang w:val="en-US" w:eastAsia="zh-CN"/>
        </w:rPr>
        <w:t>工作人员服务不到位引发用户投诉。如晋中市榆次区工作人员未将计划停电信息及时通知新佳苑小区物业导致住户被困电梯</w:t>
      </w:r>
      <w:r>
        <w:rPr>
          <w:rFonts w:hint="eastAsia" w:ascii="仿宋" w:hAnsi="仿宋" w:eastAsia="仿宋" w:cs="仿宋"/>
          <w:color w:val="000000"/>
          <w:kern w:val="0"/>
          <w:sz w:val="32"/>
          <w:szCs w:val="32"/>
          <w:shd w:val="clear" w:color="auto" w:fill="FFFFFF"/>
        </w:rPr>
        <w:t>；三是部分供电企业工作人员</w:t>
      </w:r>
      <w:r>
        <w:rPr>
          <w:rFonts w:hint="eastAsia" w:ascii="仿宋" w:hAnsi="仿宋" w:eastAsia="仿宋" w:cs="仿宋"/>
          <w:color w:val="000000"/>
          <w:kern w:val="0"/>
          <w:sz w:val="32"/>
          <w:szCs w:val="32"/>
          <w:shd w:val="clear" w:color="auto" w:fill="FFFFFF"/>
          <w:lang w:val="en-US" w:eastAsia="zh-CN"/>
        </w:rPr>
        <w:t>将用户表记线路接错导致电费有误。如：大同市云岗区恒安新区用户反映工作人员将表记线路接错导致用户多交79元电费</w:t>
      </w:r>
      <w:r>
        <w:rPr>
          <w:rFonts w:hint="eastAsia" w:ascii="仿宋" w:hAnsi="仿宋" w:eastAsia="仿宋" w:cs="仿宋"/>
          <w:color w:val="000000"/>
          <w:kern w:val="0"/>
          <w:sz w:val="32"/>
          <w:szCs w:val="32"/>
          <w:shd w:val="clear" w:color="auto" w:fill="FFFFFF"/>
        </w:rPr>
        <w:t>；四是</w:t>
      </w:r>
      <w:r>
        <w:rPr>
          <w:rFonts w:hint="eastAsia" w:ascii="仿宋" w:hAnsi="仿宋" w:eastAsia="仿宋" w:cs="仿宋"/>
          <w:color w:val="000000"/>
          <w:kern w:val="0"/>
          <w:sz w:val="32"/>
          <w:szCs w:val="32"/>
          <w:shd w:val="clear" w:color="auto" w:fill="FFFFFF"/>
          <w:lang w:val="en-US" w:eastAsia="zh-CN"/>
        </w:rPr>
        <w:t>部分供电企业工作人员停电抢险不及时，引发用户投诉。如：大同市矿区故障停电后处理时间较长引发用户投诉；五是</w:t>
      </w:r>
      <w:r>
        <w:rPr>
          <w:rFonts w:hint="eastAsia" w:ascii="仿宋" w:hAnsi="仿宋" w:eastAsia="仿宋" w:cs="仿宋"/>
          <w:color w:val="000000"/>
          <w:kern w:val="0"/>
          <w:sz w:val="32"/>
          <w:szCs w:val="32"/>
          <w:shd w:val="clear" w:color="auto" w:fill="FFFFFF"/>
        </w:rPr>
        <w:t>个别电力设施</w:t>
      </w:r>
      <w:r>
        <w:rPr>
          <w:rFonts w:hint="eastAsia" w:ascii="仿宋" w:hAnsi="仿宋" w:eastAsia="仿宋" w:cs="仿宋"/>
          <w:color w:val="000000"/>
          <w:kern w:val="0"/>
          <w:sz w:val="32"/>
          <w:szCs w:val="32"/>
          <w:shd w:val="clear" w:color="auto" w:fill="FFFFFF"/>
          <w:lang w:val="en-US" w:eastAsia="zh-CN"/>
        </w:rPr>
        <w:t>倾斜</w:t>
      </w:r>
      <w:r>
        <w:rPr>
          <w:rFonts w:hint="eastAsia" w:ascii="仿宋" w:hAnsi="仿宋" w:eastAsia="仿宋" w:cs="仿宋"/>
          <w:color w:val="000000"/>
          <w:kern w:val="0"/>
          <w:sz w:val="32"/>
          <w:szCs w:val="32"/>
          <w:shd w:val="clear" w:color="auto" w:fill="FFFFFF"/>
        </w:rPr>
        <w:t>存在安全隐患。</w:t>
      </w:r>
      <w:r>
        <w:rPr>
          <w:rFonts w:hint="eastAsia" w:ascii="仿宋" w:hAnsi="仿宋" w:eastAsia="仿宋" w:cs="仿宋"/>
          <w:color w:val="000000"/>
          <w:kern w:val="0"/>
          <w:sz w:val="32"/>
          <w:szCs w:val="32"/>
          <w:shd w:val="clear" w:color="auto" w:fill="FFFFFF"/>
          <w:lang w:val="en-US" w:eastAsia="zh-CN"/>
        </w:rPr>
        <w:t>如：临汾市古县岳阳镇烧车村用户反映电杆倾斜存在安全隐患。</w:t>
      </w:r>
    </w:p>
    <w:p>
      <w:pPr>
        <w:spacing w:line="60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新能源和可再生能源行业主要反映了部分地区分布式光伏发电项目并网存在困难，相关费用结算不及时等问题。</w:t>
      </w:r>
    </w:p>
    <w:p>
      <w:pPr>
        <w:spacing w:line="600" w:lineRule="exact"/>
        <w:ind w:firstLine="640" w:firstLineChars="200"/>
        <w:rPr>
          <w:rFonts w:ascii="楷体_GB2312" w:eastAsia="楷体_GB2312" w:cs="楷体_GB2312"/>
          <w:color w:val="000000"/>
          <w:sz w:val="32"/>
          <w:szCs w:val="32"/>
        </w:rPr>
      </w:pPr>
      <w:r>
        <w:rPr>
          <w:rFonts w:hint="eastAsia" w:ascii="楷体_GB2312" w:eastAsia="楷体_GB2312" w:cs="楷体_GB2312"/>
          <w:color w:val="000000"/>
          <w:sz w:val="32"/>
          <w:szCs w:val="32"/>
        </w:rPr>
        <w:t>（二）原因分析</w:t>
      </w:r>
    </w:p>
    <w:p>
      <w:pPr>
        <w:spacing w:line="600" w:lineRule="exact"/>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经分析，造成以上问题的主要原因：一是部分供电企业资金投入不足，配电线路建设改造滞后；二是部分供电企业抢修力量不足，</w:t>
      </w:r>
      <w:r>
        <w:rPr>
          <w:rFonts w:hint="eastAsia" w:ascii="仿宋" w:hAnsi="仿宋" w:eastAsia="仿宋" w:cs="仿宋"/>
          <w:color w:val="000000"/>
          <w:sz w:val="32"/>
          <w:szCs w:val="32"/>
          <w:shd w:val="clear" w:color="auto" w:fill="FFFFFF"/>
          <w:lang w:val="en-US" w:eastAsia="zh-CN"/>
        </w:rPr>
        <w:t>发现故障</w:t>
      </w:r>
      <w:r>
        <w:rPr>
          <w:rFonts w:hint="eastAsia" w:ascii="仿宋" w:hAnsi="仿宋" w:eastAsia="仿宋" w:cs="仿宋"/>
          <w:color w:val="000000"/>
          <w:sz w:val="32"/>
          <w:szCs w:val="32"/>
          <w:shd w:val="clear" w:color="auto" w:fill="FFFFFF"/>
        </w:rPr>
        <w:t>不及时</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rPr>
        <w:t>抢修</w:t>
      </w:r>
      <w:r>
        <w:rPr>
          <w:rFonts w:hint="eastAsia" w:ascii="仿宋" w:hAnsi="仿宋" w:eastAsia="仿宋" w:cs="仿宋"/>
          <w:color w:val="000000"/>
          <w:sz w:val="32"/>
          <w:szCs w:val="32"/>
          <w:shd w:val="clear" w:color="auto" w:fill="FFFFFF"/>
          <w:lang w:val="en-US" w:eastAsia="zh-CN"/>
        </w:rPr>
        <w:t>时间延迟</w:t>
      </w:r>
      <w:r>
        <w:rPr>
          <w:rFonts w:hint="eastAsia" w:ascii="仿宋" w:hAnsi="仿宋" w:eastAsia="仿宋" w:cs="仿宋"/>
          <w:color w:val="000000"/>
          <w:sz w:val="32"/>
          <w:szCs w:val="32"/>
          <w:shd w:val="clear" w:color="auto" w:fill="FFFFFF"/>
        </w:rPr>
        <w:t>；三是部分供电企服务意识薄弱</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rPr>
        <w:t>服务质量不高；四是个别供电企业电力设施</w:t>
      </w:r>
      <w:r>
        <w:rPr>
          <w:rFonts w:hint="eastAsia" w:ascii="仿宋" w:hAnsi="仿宋" w:eastAsia="仿宋" w:cs="仿宋"/>
          <w:color w:val="000000"/>
          <w:sz w:val="32"/>
          <w:szCs w:val="32"/>
          <w:shd w:val="clear" w:color="auto" w:fill="FFFFFF"/>
          <w:lang w:val="en-US" w:eastAsia="zh-CN"/>
        </w:rPr>
        <w:t>隐患排查不到位</w:t>
      </w:r>
      <w:r>
        <w:rPr>
          <w:rFonts w:hint="eastAsia" w:ascii="仿宋" w:hAnsi="仿宋" w:eastAsia="仿宋" w:cs="仿宋"/>
          <w:color w:val="000000"/>
          <w:sz w:val="32"/>
          <w:szCs w:val="32"/>
          <w:shd w:val="clear" w:color="auto" w:fill="FFFFFF"/>
        </w:rPr>
        <w:t>；五是个别供电企业未规范分布式光伏发电项目费用结算流程等。</w:t>
      </w:r>
    </w:p>
    <w:p>
      <w:pPr>
        <w:spacing w:line="600" w:lineRule="exact"/>
        <w:ind w:firstLine="640" w:firstLineChars="200"/>
        <w:rPr>
          <w:rFonts w:ascii="黑体" w:hAnsi="黑体" w:eastAsia="黑体"/>
          <w:color w:val="000000"/>
          <w:sz w:val="32"/>
        </w:rPr>
      </w:pPr>
      <w:r>
        <w:rPr>
          <w:rFonts w:hint="eastAsia" w:ascii="黑体" w:hAnsi="黑体" w:eastAsia="黑体"/>
          <w:color w:val="000000"/>
          <w:sz w:val="32"/>
          <w:lang w:val="en-US" w:eastAsia="zh-CN"/>
        </w:rPr>
        <w:t>五</w:t>
      </w:r>
      <w:r>
        <w:rPr>
          <w:rFonts w:hint="eastAsia" w:ascii="黑体" w:hAnsi="黑体" w:eastAsia="黑体"/>
          <w:color w:val="000000"/>
          <w:sz w:val="32"/>
        </w:rPr>
        <w:t>、处理结果</w:t>
      </w:r>
    </w:p>
    <w:p>
      <w:pPr>
        <w:spacing w:line="600" w:lineRule="exact"/>
        <w:ind w:firstLine="640" w:firstLineChars="200"/>
        <w:rPr>
          <w:rFonts w:hint="eastAsia" w:ascii="仿宋_GB2312" w:eastAsia="仿宋_GB2312"/>
          <w:color w:val="000000"/>
          <w:sz w:val="32"/>
        </w:rPr>
      </w:pPr>
      <w:r>
        <w:rPr>
          <w:rFonts w:hint="eastAsia" w:ascii="仿宋_GB2312" w:eastAsia="仿宋_GB2312"/>
          <w:sz w:val="32"/>
        </w:rPr>
        <w:t>2020年8月</w:t>
      </w:r>
      <w:r>
        <w:rPr>
          <w:rFonts w:hint="eastAsia" w:ascii="仿宋_GB2312" w:eastAsia="仿宋_GB2312"/>
          <w:color w:val="000000"/>
          <w:sz w:val="32"/>
        </w:rPr>
        <w:t>共收到投诉举报信息9件，根据国家有关法律法规规定，山西能源监管办对属于监管职责范围的5（受理数）件进行了受理，占投诉举报量的55.56%；其他不属于能源监管职责范围的已按照有关规定进行了及时转办。</w:t>
      </w:r>
    </w:p>
    <w:p>
      <w:pPr>
        <w:spacing w:line="600" w:lineRule="exact"/>
        <w:ind w:firstLine="640" w:firstLineChars="200"/>
        <w:rPr>
          <w:rFonts w:ascii="宋体" w:hAnsi="宋体" w:cs="宋体"/>
          <w:color w:val="000000"/>
          <w:szCs w:val="21"/>
          <w:shd w:val="clear" w:color="auto" w:fill="FFFFFF"/>
        </w:rPr>
      </w:pPr>
      <w:r>
        <w:rPr>
          <w:rFonts w:hint="eastAsia" w:ascii="仿宋_GB2312" w:eastAsia="仿宋_GB2312" w:cs="仿宋_GB2312"/>
          <w:color w:val="000000"/>
          <w:sz w:val="32"/>
          <w:szCs w:val="32"/>
        </w:rPr>
        <w:t>针对群众反映的投诉举报事项，</w:t>
      </w:r>
      <w:r>
        <w:rPr>
          <w:rFonts w:ascii="仿宋_GB2312" w:eastAsia="仿宋_GB2312" w:cs="仿宋_GB2312"/>
          <w:color w:val="000000"/>
          <w:sz w:val="32"/>
          <w:szCs w:val="32"/>
        </w:rPr>
        <w:t>山西能源监管办</w:t>
      </w:r>
      <w:r>
        <w:rPr>
          <w:rFonts w:hint="eastAsia" w:ascii="仿宋_GB2312" w:eastAsia="仿宋_GB2312" w:cs="仿宋_GB2312"/>
          <w:color w:val="000000"/>
          <w:sz w:val="32"/>
          <w:szCs w:val="32"/>
        </w:rPr>
        <w:t>严格依据国家有关法律法规及文件规定进行了处理：</w:t>
      </w:r>
      <w:r>
        <w:rPr>
          <w:rFonts w:hint="eastAsia" w:ascii="仿宋" w:hAnsi="仿宋" w:eastAsia="仿宋" w:cs="仿宋"/>
          <w:color w:val="000000"/>
          <w:sz w:val="32"/>
          <w:szCs w:val="32"/>
          <w:shd w:val="clear" w:color="auto" w:fill="FFFFFF"/>
        </w:rPr>
        <w:t>一是通过解释说明，澄清事实，使当事人消除误解；二是通过协调督促，加快电能质量问题的解决</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lang w:val="en-US" w:eastAsia="zh-CN"/>
        </w:rPr>
        <w:t>三是</w:t>
      </w:r>
      <w:r>
        <w:rPr>
          <w:rFonts w:hint="eastAsia" w:ascii="仿宋" w:hAnsi="仿宋" w:eastAsia="仿宋" w:cs="仿宋"/>
          <w:color w:val="000000"/>
          <w:sz w:val="32"/>
          <w:szCs w:val="32"/>
          <w:shd w:val="clear" w:color="auto" w:fill="FFFFFF"/>
        </w:rPr>
        <w:t>及时消除安全隐患,保障群众正常生产生活；</w:t>
      </w:r>
      <w:r>
        <w:rPr>
          <w:rFonts w:hint="eastAsia" w:ascii="仿宋" w:hAnsi="仿宋" w:eastAsia="仿宋" w:cs="仿宋"/>
          <w:color w:val="000000"/>
          <w:sz w:val="32"/>
          <w:szCs w:val="32"/>
          <w:shd w:val="clear" w:color="auto" w:fill="FFFFFF"/>
          <w:lang w:val="en-US" w:eastAsia="zh-CN"/>
        </w:rPr>
        <w:t>四</w:t>
      </w:r>
      <w:r>
        <w:rPr>
          <w:rFonts w:hint="eastAsia" w:ascii="仿宋" w:hAnsi="仿宋" w:eastAsia="仿宋" w:cs="仿宋"/>
          <w:color w:val="000000"/>
          <w:sz w:val="32"/>
          <w:szCs w:val="32"/>
          <w:shd w:val="clear" w:color="auto" w:fill="FFFFFF"/>
        </w:rPr>
        <w:t>是通过监管约谈、责令整改等方式，纠正了相关企业的违法违规行为，维护了当事人合法权益。</w:t>
      </w:r>
    </w:p>
    <w:p>
      <w:pPr>
        <w:spacing w:line="600" w:lineRule="exact"/>
        <w:ind w:firstLine="640" w:firstLineChars="200"/>
        <w:jc w:val="left"/>
        <w:rPr>
          <w:rFonts w:ascii="仿宋_GB2312" w:eastAsia="仿宋_GB2312"/>
          <w:color w:val="000000"/>
          <w:sz w:val="32"/>
        </w:rPr>
        <w:sectPr>
          <w:headerReference r:id="rId3" w:type="default"/>
          <w:footerReference r:id="rId4" w:type="default"/>
          <w:footerReference r:id="rId5" w:type="even"/>
          <w:pgSz w:w="11906" w:h="16838"/>
          <w:pgMar w:top="2041" w:right="1531" w:bottom="1928" w:left="1644" w:header="851" w:footer="992" w:gutter="0"/>
          <w:pgBorders w:offsetFrom="page">
            <w:top w:val="none" w:sz="0" w:space="0"/>
            <w:left w:val="none" w:sz="0" w:space="0"/>
            <w:bottom w:val="none" w:sz="0" w:space="0"/>
            <w:right w:val="none" w:sz="0" w:space="0"/>
          </w:pgBorders>
          <w:pgNumType w:start="1"/>
          <w:cols w:space="708" w:num="1"/>
          <w:docGrid w:linePitch="312" w:charSpace="0"/>
        </w:sectPr>
      </w:pPr>
      <w:r>
        <w:rPr>
          <w:rFonts w:hint="eastAsia" w:ascii="仿宋_GB2312" w:eastAsia="仿宋_GB2312"/>
          <w:sz w:val="32"/>
        </w:rPr>
        <w:t>2020年8月</w:t>
      </w:r>
      <w:r>
        <w:rPr>
          <w:rFonts w:hint="eastAsia" w:ascii="仿宋_GB2312" w:eastAsia="仿宋_GB2312"/>
          <w:color w:val="000000"/>
          <w:sz w:val="32"/>
        </w:rPr>
        <w:t>已办结投诉举报5件</w:t>
      </w:r>
      <w:r>
        <w:rPr>
          <w:rFonts w:hint="eastAsia" w:ascii="仿宋_GB2312" w:eastAsia="仿宋_GB2312" w:cs="仿宋_GB2312"/>
          <w:color w:val="000000"/>
          <w:sz w:val="32"/>
          <w:szCs w:val="32"/>
        </w:rPr>
        <w:t>，占投诉举报受理量的</w:t>
      </w:r>
      <w:r>
        <w:rPr>
          <w:rFonts w:ascii="仿宋_GB2312" w:eastAsia="仿宋_GB2312" w:cs="仿宋_GB2312"/>
          <w:color w:val="000000"/>
          <w:sz w:val="32"/>
          <w:szCs w:val="32"/>
        </w:rPr>
        <w:t>100.00%</w:t>
      </w:r>
      <w:r>
        <w:rPr>
          <w:rFonts w:hint="eastAsia" w:ascii="仿宋_GB2312" w:eastAsia="仿宋_GB2312" w:cs="仿宋_GB2312"/>
          <w:color w:val="000000"/>
          <w:sz w:val="32"/>
          <w:szCs w:val="32"/>
        </w:rPr>
        <w:t>；完成回访</w:t>
      </w:r>
      <w:r>
        <w:rPr>
          <w:rFonts w:ascii="仿宋_GB2312" w:eastAsia="仿宋_GB2312" w:cs="仿宋_GB2312"/>
          <w:color w:val="000000"/>
          <w:sz w:val="32"/>
          <w:szCs w:val="32"/>
        </w:rPr>
        <w:t>5</w:t>
      </w:r>
      <w:r>
        <w:rPr>
          <w:rFonts w:hint="eastAsia" w:ascii="仿宋_GB2312" w:eastAsia="仿宋_GB2312" w:cs="仿宋_GB2312"/>
          <w:color w:val="000000"/>
          <w:sz w:val="32"/>
          <w:szCs w:val="32"/>
        </w:rPr>
        <w:t>件，回访率为</w:t>
      </w:r>
      <w:r>
        <w:rPr>
          <w:rFonts w:ascii="仿宋_GB2312" w:eastAsia="仿宋_GB2312" w:cs="仿宋_GB2312"/>
          <w:color w:val="000000"/>
          <w:sz w:val="32"/>
          <w:szCs w:val="32"/>
        </w:rPr>
        <w:t>100.00%</w:t>
      </w:r>
      <w:r>
        <w:rPr>
          <w:rFonts w:hint="eastAsia" w:ascii="仿宋_GB2312" w:eastAsia="仿宋_GB2312" w:cs="仿宋_GB2312"/>
          <w:color w:val="000000"/>
          <w:sz w:val="32"/>
          <w:szCs w:val="32"/>
        </w:rPr>
        <w:t>，满意率达到</w:t>
      </w:r>
      <w:r>
        <w:rPr>
          <w:rFonts w:ascii="仿宋_GB2312" w:eastAsia="仿宋_GB2312" w:cs="仿宋_GB2312"/>
          <w:color w:val="000000"/>
          <w:sz w:val="32"/>
          <w:szCs w:val="32"/>
        </w:rPr>
        <w:t>100.00</w:t>
      </w:r>
      <w:r>
        <w:rPr>
          <w:rFonts w:hint="eastAsia" w:ascii="仿宋_GB2312" w:eastAsia="仿宋_GB2312" w:cs="仿宋_GB2312"/>
          <w:color w:val="000000"/>
          <w:sz w:val="32"/>
          <w:szCs w:val="32"/>
        </w:rPr>
        <w:t>％。</w:t>
      </w:r>
    </w:p>
    <w:p>
      <w:pPr>
        <w:rPr>
          <w:rFonts w:hint="eastAsia" w:ascii="仿宋_GB2312" w:eastAsia="仿宋_GB2312"/>
          <w:color w:val="000000"/>
          <w:sz w:val="28"/>
          <w:szCs w:val="28"/>
        </w:rPr>
      </w:pPr>
      <w:bookmarkStart w:id="2" w:name="_GoBack"/>
      <w:bookmarkEnd w:id="2"/>
      <w:bookmarkStart w:id="1" w:name="table4"/>
      <w:r>
        <w:rPr>
          <w:rFonts w:hint="eastAsia" w:ascii="仿宋_GB2312" w:eastAsia="仿宋_GB2312"/>
          <w:color w:val="000000"/>
          <w:sz w:val="28"/>
          <w:szCs w:val="28"/>
        </w:rPr>
        <w:t xml:space="preserve"> </w:t>
      </w:r>
    </w:p>
    <w:bookmarkEnd w:id="1"/>
    <w:p>
      <w:pPr>
        <w:rPr>
          <w:rFonts w:hint="eastAsia" w:ascii="仿宋_GB2312" w:eastAsia="仿宋_GB2312"/>
          <w:color w:val="000000"/>
          <w:sz w:val="28"/>
          <w:szCs w:val="28"/>
        </w:rPr>
      </w:pPr>
    </w:p>
    <w:p>
      <w:pPr>
        <w:ind w:firstLine="9240" w:firstLineChars="3300"/>
        <w:rPr>
          <w:rFonts w:hint="eastAsia" w:ascii="仿宋_GB2312" w:eastAsia="仿宋_GB2312"/>
          <w:color w:val="000000"/>
          <w:sz w:val="28"/>
          <w:szCs w:val="28"/>
        </w:rPr>
      </w:pPr>
    </w:p>
    <w:p>
      <w:pPr>
        <w:rPr>
          <w:rFonts w:ascii="仿宋_GB2312" w:eastAsia="仿宋_GB2312"/>
          <w:color w:val="000000"/>
          <w:sz w:val="28"/>
          <w:szCs w:val="28"/>
        </w:rPr>
      </w:pPr>
    </w:p>
    <w:sectPr>
      <w:headerReference r:id="rId6" w:type="default"/>
      <w:footerReference r:id="rId7" w:type="default"/>
      <w:footerReference r:id="rId8" w:type="even"/>
      <w:pgSz w:w="16839" w:h="23814"/>
      <w:pgMar w:top="1928" w:right="1134" w:bottom="2041" w:left="1134" w:header="851" w:footer="992" w:gutter="0"/>
      <w:pgBorders w:offsetFrom="page">
        <w:top w:val="none" w:sz="0" w:space="0"/>
        <w:left w:val="none" w:sz="0" w:space="0"/>
        <w:bottom w:val="none" w:sz="0" w:space="0"/>
        <w:right w:val="none" w:sz="0" w:space="0"/>
      </w:pgBorders>
      <w:cols w:space="708"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Style w:val="9"/>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Style w:val="9"/>
        <w:rFonts w:ascii="仿宋_GB2312" w:eastAsia="仿宋_GB2312"/>
        <w:sz w:val="28"/>
        <w:szCs w:val="28"/>
      </w:rPr>
      <w:t>5</w:t>
    </w:r>
    <w:r>
      <w:rPr>
        <w:rFonts w:hint="eastAsia" w:ascii="仿宋_GB2312" w:eastAsia="仿宋_GB2312"/>
        <w:sz w:val="28"/>
        <w:szCs w:val="28"/>
      </w:rPr>
      <w:fldChar w:fldCharType="end"/>
    </w:r>
    <w:r>
      <w:rPr>
        <w:rFonts w:hint="eastAsia" w:ascii="仿宋_GB2312" w:eastAsia="仿宋_GB2312"/>
        <w:sz w:val="28"/>
        <w:szCs w:val="28"/>
      </w:rPr>
      <w:t>—</w:t>
    </w:r>
  </w:p>
  <w:p>
    <w:pPr>
      <w:pStyle w:val="3"/>
      <w:jc w:val="right"/>
      <w:rPr>
        <w:rFonts w:ascii="Times New Roman"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t>6</w:t>
    </w:r>
    <w:r>
      <w:rPr>
        <w:rFonts w:ascii="Times New Roman" w:hAnsi="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Style w:val="9"/>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Style w:val="9"/>
        <w:rFonts w:ascii="仿宋_GB2312" w:eastAsia="仿宋_GB2312"/>
        <w:sz w:val="28"/>
        <w:szCs w:val="28"/>
      </w:rPr>
      <w:t>6</w:t>
    </w:r>
    <w:r>
      <w:rPr>
        <w:rFonts w:hint="eastAsia" w:ascii="仿宋_GB2312" w:eastAsia="仿宋_GB2312"/>
        <w:sz w:val="28"/>
        <w:szCs w:val="28"/>
      </w:rPr>
      <w:fldChar w:fldCharType="end"/>
    </w:r>
    <w:r>
      <w:rPr>
        <w:rFonts w:hint="eastAsia" w:ascii="仿宋_GB2312" w:eastAsia="仿宋_GB2312"/>
        <w:sz w:val="28"/>
        <w:szCs w:val="28"/>
      </w:rPr>
      <w:t>—</w:t>
    </w:r>
  </w:p>
  <w:p>
    <w:pPr>
      <w:pStyle w:val="3"/>
      <w:jc w:val="right"/>
      <w:rPr>
        <w:rFonts w:ascii="Times New Roman" w:hAnsi="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t>6</w:t>
    </w:r>
    <w:r>
      <w:rPr>
        <w:rFonts w:ascii="Times New Roman" w:hAnsi="Times New Roman"/>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HorizontalSpacing w:val="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5982251"/>
    <w:rsid w:val="271A02B3"/>
    <w:rsid w:val="526B60C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uiPriority="99"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caption"/>
    <w:basedOn w:val="1"/>
    <w:next w:val="1"/>
    <w:qFormat/>
    <w:uiPriority w:val="35"/>
    <w:rPr>
      <w:rFonts w:ascii="Cambria" w:hAnsi="Cambria" w:eastAsia="黑体" w:cs="黑体"/>
      <w:sz w:val="20"/>
      <w:szCs w:val="20"/>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脚 Char"/>
    <w:link w:val="3"/>
    <w:qFormat/>
    <w:uiPriority w:val="99"/>
    <w:rPr>
      <w:sz w:val="18"/>
      <w:szCs w:val="18"/>
    </w:rPr>
  </w:style>
  <w:style w:type="character" w:customStyle="1" w:styleId="11">
    <w:name w:val="页眉 Char"/>
    <w:link w:val="4"/>
    <w:qFormat/>
    <w:uiPriority w:val="99"/>
    <w:rPr>
      <w:sz w:val="18"/>
      <w:szCs w:val="18"/>
    </w:rPr>
  </w:style>
  <w:style w:type="character" w:customStyle="1" w:styleId="12">
    <w:name w:val="font61"/>
    <w:qFormat/>
    <w:uiPriority w:val="0"/>
    <w:rPr>
      <w:rFonts w:hint="eastAsia" w:ascii="仿宋_GB2312" w:eastAsia="仿宋_GB2312" w:cs="仿宋_GB2312"/>
      <w:color w:val="000000"/>
      <w:sz w:val="18"/>
      <w:szCs w:val="18"/>
    </w:rPr>
  </w:style>
  <w:style w:type="character" w:customStyle="1" w:styleId="13">
    <w:name w:val="font101"/>
    <w:uiPriority w:val="0"/>
    <w:rPr>
      <w:rFonts w:hint="eastAsia" w:ascii="仿宋_GB2312" w:eastAsia="仿宋_GB2312" w:cs="仿宋_GB2312"/>
      <w:color w:val="FF0000"/>
      <w:sz w:val="18"/>
      <w:szCs w:val="18"/>
    </w:rPr>
  </w:style>
  <w:style w:type="paragraph" w:customStyle="1" w:styleId="14">
    <w:name w:val="列出段落1"/>
    <w:basedOn w:val="1"/>
    <w:qFormat/>
    <w:uiPriority w:val="34"/>
    <w:pPr>
      <w:ind w:firstLine="420" w:firstLineChars="200"/>
    </w:pPr>
    <w:rPr>
      <w:rFonts w:cs="黑体"/>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376</Words>
  <Characters>2147</Characters>
  <Lines>17</Lines>
  <Paragraphs>5</Paragraphs>
  <TotalTime>157261982</TotalTime>
  <ScaleCrop>false</ScaleCrop>
  <LinksUpToDate>false</LinksUpToDate>
  <CharactersWithSpaces>2518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2016-12-12T01:02:00Z</dcterms:created>
  <dc:creator>汪洋(市场监管部)</dc:creator>
  <cp:lastModifiedBy>lenovo</cp:lastModifiedBy>
  <cp:lastPrinted>2016-12-12T06:17:00Z</cp:lastPrinted>
  <dcterms:modified xsi:type="dcterms:W3CDTF">2020-09-16T09:50:48Z</dcterms:modified>
  <dc:title>2016年10月12398能源监管热线投诉举报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